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208"/>
        <w:gridCol w:w="5862"/>
      </w:tblGrid>
      <w:tr w:rsidR="00E57F79" w14:paraId="57359493" w14:textId="77777777" w:rsidTr="00E57F79">
        <w:tc>
          <w:tcPr>
            <w:tcW w:w="3888" w:type="dxa"/>
          </w:tcPr>
          <w:p w14:paraId="2D4E44DE" w14:textId="7D4AA80D" w:rsidR="00E57F79" w:rsidRDefault="00815B0A">
            <w:pPr>
              <w:rPr>
                <w:rFonts w:ascii="Arial" w:hAnsi="Arial" w:cs="Arial"/>
              </w:rPr>
            </w:pPr>
            <w:r w:rsidRPr="00815B0A">
              <w:rPr>
                <w:rFonts w:ascii="Arial" w:hAnsi="Arial" w:cs="Arial"/>
                <w:noProof/>
              </w:rPr>
              <w:drawing>
                <wp:inline distT="0" distB="0" distL="0" distR="0" wp14:anchorId="4344DD5E" wp14:editId="6FCF4429">
                  <wp:extent cx="2535431" cy="1381125"/>
                  <wp:effectExtent l="0" t="0" r="0" b="0"/>
                  <wp:docPr id="1" name="Picture 1" descr="C:\Users\bennerj\Downloads\CJP 25 logo (color) 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nerj\Downloads\CJP 25 logo (color) standar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8129" cy="1393489"/>
                          </a:xfrm>
                          <a:prstGeom prst="rect">
                            <a:avLst/>
                          </a:prstGeom>
                          <a:noFill/>
                          <a:ln>
                            <a:noFill/>
                          </a:ln>
                        </pic:spPr>
                      </pic:pic>
                    </a:graphicData>
                  </a:graphic>
                </wp:inline>
              </w:drawing>
            </w:r>
          </w:p>
        </w:tc>
        <w:tc>
          <w:tcPr>
            <w:tcW w:w="6408" w:type="dxa"/>
          </w:tcPr>
          <w:p w14:paraId="2EB4C6CD" w14:textId="77777777" w:rsidR="00E57F79" w:rsidRDefault="00E57F79">
            <w:pPr>
              <w:rPr>
                <w:rFonts w:ascii="Arial" w:hAnsi="Arial" w:cs="Arial"/>
                <w:b/>
                <w:bCs/>
                <w:smallCaps/>
              </w:rPr>
            </w:pPr>
          </w:p>
          <w:p w14:paraId="683B6B41" w14:textId="739FB98F" w:rsidR="00E57F79" w:rsidRPr="00CC5F21" w:rsidRDefault="004C682B" w:rsidP="00E57F79">
            <w:pPr>
              <w:jc w:val="center"/>
              <w:rPr>
                <w:rFonts w:ascii="Arial" w:hAnsi="Arial" w:cs="Arial"/>
                <w:b/>
                <w:bCs/>
                <w:smallCaps/>
                <w:color w:val="4F6228" w:themeColor="accent3" w:themeShade="80"/>
              </w:rPr>
            </w:pPr>
            <w:r>
              <w:rPr>
                <w:rFonts w:ascii="Arial" w:hAnsi="Arial" w:cs="Arial"/>
                <w:b/>
                <w:bCs/>
                <w:smallCaps/>
                <w:color w:val="4F6228" w:themeColor="accent3" w:themeShade="80"/>
              </w:rPr>
              <w:t>Designing Processes for Conflict Transformation</w:t>
            </w:r>
          </w:p>
          <w:p w14:paraId="5AAD2069" w14:textId="13C6A626" w:rsidR="00E57F79" w:rsidRPr="00CC5F21" w:rsidRDefault="00E57F79" w:rsidP="00E57F79">
            <w:pPr>
              <w:jc w:val="center"/>
              <w:rPr>
                <w:rFonts w:ascii="Arial" w:hAnsi="Arial" w:cs="Arial"/>
                <w:b/>
                <w:bCs/>
                <w:smallCaps/>
                <w:color w:val="4F6228" w:themeColor="accent3" w:themeShade="80"/>
                <w:sz w:val="22"/>
                <w:szCs w:val="22"/>
              </w:rPr>
            </w:pPr>
            <w:r w:rsidRPr="00CC5F21">
              <w:rPr>
                <w:rFonts w:ascii="Arial" w:hAnsi="Arial" w:cs="Arial"/>
                <w:b/>
                <w:bCs/>
                <w:smallCaps/>
                <w:color w:val="4F6228" w:themeColor="accent3" w:themeShade="80"/>
                <w:sz w:val="22"/>
                <w:szCs w:val="22"/>
              </w:rPr>
              <w:t xml:space="preserve">PAX </w:t>
            </w:r>
            <w:r w:rsidR="004C682B">
              <w:rPr>
                <w:rFonts w:ascii="Arial" w:hAnsi="Arial" w:cs="Arial"/>
                <w:b/>
                <w:bCs/>
                <w:smallCaps/>
                <w:color w:val="4F6228" w:themeColor="accent3" w:themeShade="80"/>
                <w:sz w:val="22"/>
                <w:szCs w:val="22"/>
              </w:rPr>
              <w:t>685</w:t>
            </w:r>
          </w:p>
          <w:p w14:paraId="3EC13430" w14:textId="77777777" w:rsidR="00E57F79" w:rsidRPr="00E57F79" w:rsidRDefault="00E57F79" w:rsidP="00E57F79">
            <w:pPr>
              <w:jc w:val="center"/>
              <w:rPr>
                <w:rFonts w:ascii="Arial" w:hAnsi="Arial" w:cs="Arial"/>
                <w:b/>
                <w:bCs/>
                <w:smallCaps/>
                <w:color w:val="1669B5"/>
                <w:sz w:val="22"/>
                <w:szCs w:val="22"/>
              </w:rPr>
            </w:pPr>
          </w:p>
          <w:p w14:paraId="14FBD953" w14:textId="38B8C7A7" w:rsidR="00E57F79" w:rsidRDefault="00DC3308" w:rsidP="00E57F79">
            <w:pPr>
              <w:jc w:val="center"/>
              <w:rPr>
                <w:rFonts w:ascii="Arial" w:hAnsi="Arial" w:cs="Arial"/>
                <w:sz w:val="20"/>
                <w:szCs w:val="20"/>
              </w:rPr>
            </w:pPr>
            <w:r w:rsidRPr="00DC3308">
              <w:rPr>
                <w:rFonts w:ascii="Arial" w:hAnsi="Arial" w:cs="Arial"/>
                <w:color w:val="FF0000"/>
                <w:sz w:val="20"/>
                <w:szCs w:val="20"/>
              </w:rPr>
              <w:t xml:space="preserve">DRAFT </w:t>
            </w:r>
            <w:r>
              <w:rPr>
                <w:rFonts w:ascii="Arial" w:hAnsi="Arial" w:cs="Arial"/>
                <w:sz w:val="20"/>
                <w:szCs w:val="20"/>
              </w:rPr>
              <w:t xml:space="preserve">- </w:t>
            </w:r>
            <w:r w:rsidR="003D2A5D">
              <w:rPr>
                <w:rFonts w:ascii="Arial" w:hAnsi="Arial" w:cs="Arial"/>
                <w:sz w:val="20"/>
                <w:szCs w:val="20"/>
              </w:rPr>
              <w:t>Spring 2020</w:t>
            </w:r>
          </w:p>
          <w:p w14:paraId="1CCD0E5C" w14:textId="77777777" w:rsidR="00E57F79" w:rsidRDefault="00E57F79" w:rsidP="00E57F79">
            <w:pPr>
              <w:rPr>
                <w:rFonts w:ascii="Arial" w:hAnsi="Arial" w:cs="Arial"/>
                <w:sz w:val="20"/>
                <w:szCs w:val="20"/>
              </w:rPr>
            </w:pPr>
          </w:p>
          <w:p w14:paraId="25D3897C" w14:textId="77777777" w:rsidR="003D2A5D" w:rsidRDefault="003D2A5D" w:rsidP="003221AD">
            <w:pPr>
              <w:jc w:val="center"/>
              <w:rPr>
                <w:rFonts w:ascii="Arial" w:hAnsi="Arial" w:cs="Arial"/>
                <w:i/>
                <w:sz w:val="20"/>
                <w:szCs w:val="20"/>
              </w:rPr>
            </w:pPr>
            <w:r>
              <w:rPr>
                <w:rFonts w:ascii="Arial" w:hAnsi="Arial" w:cs="Arial"/>
                <w:i/>
                <w:sz w:val="20"/>
                <w:szCs w:val="20"/>
              </w:rPr>
              <w:t xml:space="preserve">Online synchronously </w:t>
            </w:r>
            <w:r w:rsidRPr="003D2A5D">
              <w:rPr>
                <w:rFonts w:ascii="Arial" w:hAnsi="Arial" w:cs="Arial"/>
                <w:i/>
                <w:sz w:val="20"/>
                <w:szCs w:val="20"/>
              </w:rPr>
              <w:t xml:space="preserve">Fridays, 10 a.m. – 2:30 p.m. (Jan 22, 29, Feb 12, March 5, 26, April 16) </w:t>
            </w:r>
          </w:p>
          <w:p w14:paraId="01ACA4A9" w14:textId="322DE5BE" w:rsidR="00E57F79" w:rsidRPr="00E57F79" w:rsidRDefault="003D2A5D" w:rsidP="003221AD">
            <w:pPr>
              <w:jc w:val="center"/>
              <w:rPr>
                <w:rFonts w:ascii="Arial" w:hAnsi="Arial" w:cs="Arial"/>
              </w:rPr>
            </w:pPr>
            <w:r w:rsidRPr="003D2A5D">
              <w:rPr>
                <w:rFonts w:ascii="Arial" w:hAnsi="Arial" w:cs="Arial"/>
                <w:i/>
                <w:sz w:val="20"/>
                <w:szCs w:val="20"/>
              </w:rPr>
              <w:t>+ asynchronous times via VoiceThread</w:t>
            </w:r>
          </w:p>
        </w:tc>
      </w:tr>
    </w:tbl>
    <w:p w14:paraId="3D91B98D" w14:textId="77777777" w:rsidR="00ED5E0F" w:rsidRDefault="00ED5E0F">
      <w:pPr>
        <w:rPr>
          <w:rFonts w:ascii="Arial" w:hAnsi="Arial" w:cs="Arial"/>
        </w:rPr>
      </w:pPr>
    </w:p>
    <w:p w14:paraId="1A882127" w14:textId="77777777" w:rsidR="00E57F79" w:rsidRPr="00CC5F21" w:rsidRDefault="00E57F79">
      <w:pPr>
        <w:rPr>
          <w:rFonts w:ascii="Arial" w:hAnsi="Arial" w:cs="Arial"/>
          <w:b/>
          <w:bCs/>
          <w:smallCaps/>
          <w:color w:val="4F6228" w:themeColor="accent3" w:themeShade="80"/>
          <w:sz w:val="22"/>
          <w:szCs w:val="22"/>
        </w:rPr>
      </w:pPr>
      <w:r w:rsidRPr="00CC5F21">
        <w:rPr>
          <w:rFonts w:ascii="Arial" w:hAnsi="Arial" w:cs="Arial"/>
          <w:b/>
          <w:bCs/>
          <w:smallCaps/>
          <w:color w:val="4F6228" w:themeColor="accent3" w:themeShade="80"/>
        </w:rPr>
        <w:t>Instructor’s Information:</w:t>
      </w:r>
    </w:p>
    <w:p w14:paraId="736CA138" w14:textId="77777777" w:rsidR="00E57F79" w:rsidRDefault="00E57F79">
      <w:pPr>
        <w:rPr>
          <w:rFonts w:ascii="Arial" w:hAnsi="Arial" w:cs="Arial"/>
          <w:b/>
          <w:bCs/>
          <w:sz w:val="22"/>
          <w:szCs w:val="22"/>
        </w:rPr>
      </w:pPr>
    </w:p>
    <w:p w14:paraId="2971C932" w14:textId="2D4AB60E" w:rsidR="00E57F79" w:rsidRDefault="003D2A5D">
      <w:pPr>
        <w:rPr>
          <w:rFonts w:ascii="Arial" w:hAnsi="Arial" w:cs="Arial"/>
          <w:bCs/>
          <w:sz w:val="22"/>
          <w:szCs w:val="22"/>
        </w:rPr>
      </w:pPr>
      <w:r>
        <w:rPr>
          <w:rFonts w:ascii="Arial" w:hAnsi="Arial" w:cs="Arial"/>
          <w:bCs/>
          <w:sz w:val="22"/>
          <w:szCs w:val="22"/>
        </w:rPr>
        <w:t>Catherine Barnes, PhD</w:t>
      </w:r>
    </w:p>
    <w:p w14:paraId="2637052A" w14:textId="1604855A" w:rsidR="0043261F" w:rsidRDefault="00093A91">
      <w:pPr>
        <w:rPr>
          <w:rFonts w:ascii="Arial" w:hAnsi="Arial" w:cs="Arial"/>
          <w:bCs/>
          <w:sz w:val="22"/>
          <w:szCs w:val="22"/>
        </w:rPr>
      </w:pPr>
      <w:hyperlink r:id="rId9" w:history="1">
        <w:r w:rsidR="004C682B" w:rsidRPr="006F5A3A">
          <w:rPr>
            <w:rStyle w:val="Hyperlink"/>
            <w:rFonts w:ascii="Arial" w:hAnsi="Arial" w:cs="Arial"/>
            <w:bCs/>
            <w:sz w:val="22"/>
            <w:szCs w:val="22"/>
          </w:rPr>
          <w:t>Catherine.barnes@emu.edu</w:t>
        </w:r>
      </w:hyperlink>
      <w:r w:rsidR="004C682B">
        <w:rPr>
          <w:rFonts w:ascii="Arial" w:hAnsi="Arial" w:cs="Arial"/>
          <w:bCs/>
          <w:sz w:val="22"/>
          <w:szCs w:val="22"/>
        </w:rPr>
        <w:t xml:space="preserve"> </w:t>
      </w:r>
    </w:p>
    <w:p w14:paraId="0D4053B7" w14:textId="0C26417E" w:rsidR="00E57F79" w:rsidRDefault="0043261F">
      <w:pPr>
        <w:rPr>
          <w:rFonts w:ascii="Arial" w:hAnsi="Arial" w:cs="Arial"/>
          <w:bCs/>
          <w:sz w:val="22"/>
          <w:szCs w:val="22"/>
        </w:rPr>
      </w:pPr>
      <w:r>
        <w:rPr>
          <w:rFonts w:ascii="Arial" w:hAnsi="Arial" w:cs="Arial"/>
          <w:bCs/>
          <w:sz w:val="22"/>
          <w:szCs w:val="22"/>
        </w:rPr>
        <w:t>Office hours: Individual and small group meetings happily arranged via zoom at mutually convenient times</w:t>
      </w:r>
    </w:p>
    <w:p w14:paraId="77D85112" w14:textId="77777777" w:rsidR="00E57F79" w:rsidRDefault="00E57F79" w:rsidP="00E57F79">
      <w:pPr>
        <w:rPr>
          <w:rFonts w:ascii="Arial" w:hAnsi="Arial" w:cs="Arial"/>
        </w:rPr>
      </w:pPr>
    </w:p>
    <w:p w14:paraId="40AB0538" w14:textId="77777777" w:rsidR="00E57F79" w:rsidRPr="00CC5F21" w:rsidRDefault="00E57F79" w:rsidP="00E57F79">
      <w:pPr>
        <w:rPr>
          <w:rFonts w:ascii="Arial" w:hAnsi="Arial" w:cs="Arial"/>
          <w:b/>
          <w:bCs/>
          <w:smallCaps/>
          <w:color w:val="4F6228" w:themeColor="accent3" w:themeShade="80"/>
          <w:sz w:val="22"/>
          <w:szCs w:val="22"/>
        </w:rPr>
      </w:pPr>
      <w:r w:rsidRPr="00CC5F21">
        <w:rPr>
          <w:rFonts w:ascii="Arial" w:hAnsi="Arial" w:cs="Arial"/>
          <w:b/>
          <w:bCs/>
          <w:smallCaps/>
          <w:color w:val="4F6228" w:themeColor="accent3" w:themeShade="80"/>
        </w:rPr>
        <w:t>Course Description:</w:t>
      </w:r>
    </w:p>
    <w:p w14:paraId="3AAACC6C" w14:textId="7F1FAC4E" w:rsidR="00E57F79" w:rsidRPr="00E57F79" w:rsidRDefault="0043261F">
      <w:pPr>
        <w:rPr>
          <w:rFonts w:ascii="Arial" w:hAnsi="Arial" w:cs="Arial"/>
          <w:bCs/>
          <w:color w:val="000000" w:themeColor="text1"/>
          <w:sz w:val="22"/>
          <w:szCs w:val="22"/>
        </w:rPr>
      </w:pPr>
      <w:r w:rsidRPr="0043261F">
        <w:rPr>
          <w:rFonts w:ascii="Arial" w:hAnsi="Arial" w:cs="Arial"/>
          <w:bCs/>
          <w:color w:val="000000" w:themeColor="text1"/>
          <w:sz w:val="22"/>
          <w:szCs w:val="22"/>
        </w:rPr>
        <w:t xml:space="preserve">Many of the systems in which we live and work are dysfunctional and mired in conflict. One strategy for transforming them is through deliberative dialogue processes that engage the whole system: whether community, organization or society. Such processes can enable us to respond creatively to our most complex challenges and move us toward more equitable, just and positive relationships and structures. Through this class, we will explore how complexity and identity theories, conflict analysis, and power assessment inform collaborative process design. We ask tough questions about what kind of processes are relevant for cultivating different phases of change and explore ethics underpinning the praxis of process design rooted in awareness of our ‘positionality’ in the system. We will learn about many process methodologies such as Appreciative Inquiry, Courageous Conversations, Emergent Strategies, Narrative Practice, Open Space, Polarity Management, Transformative Scenario Planning, World Café, and others.  We will </w:t>
      </w:r>
      <w:r w:rsidR="00BB0C9B">
        <w:rPr>
          <w:rFonts w:ascii="Arial" w:hAnsi="Arial" w:cs="Arial"/>
          <w:bCs/>
          <w:color w:val="000000" w:themeColor="text1"/>
          <w:sz w:val="22"/>
          <w:szCs w:val="22"/>
        </w:rPr>
        <w:t>critically explore</w:t>
      </w:r>
      <w:r w:rsidRPr="0043261F">
        <w:rPr>
          <w:rFonts w:ascii="Arial" w:hAnsi="Arial" w:cs="Arial"/>
          <w:bCs/>
          <w:color w:val="000000" w:themeColor="text1"/>
          <w:sz w:val="22"/>
          <w:szCs w:val="22"/>
        </w:rPr>
        <w:t xml:space="preserve"> their underlying theories of change and theories of practice in ways that enable participants to become more creative and astute process designers.  This class will be most appropriate for participants who already have some familiarity working with groups and is ideal for those with some facilitation practice experience.</w:t>
      </w:r>
    </w:p>
    <w:p w14:paraId="45712A65" w14:textId="77777777" w:rsidR="00E57F79" w:rsidRPr="00E57F79" w:rsidRDefault="00E57F79" w:rsidP="00E57F79">
      <w:pPr>
        <w:rPr>
          <w:rFonts w:ascii="Arial" w:hAnsi="Arial" w:cs="Arial"/>
          <w:color w:val="000000" w:themeColor="text1"/>
        </w:rPr>
      </w:pPr>
    </w:p>
    <w:p w14:paraId="21743265" w14:textId="77777777" w:rsidR="00E57F79" w:rsidRPr="00CC5F21" w:rsidRDefault="00E57F79" w:rsidP="00E57F79">
      <w:pPr>
        <w:rPr>
          <w:rFonts w:ascii="Arial" w:hAnsi="Arial" w:cs="Arial"/>
          <w:b/>
          <w:bCs/>
          <w:smallCaps/>
          <w:color w:val="4F6228" w:themeColor="accent3" w:themeShade="80"/>
          <w:sz w:val="22"/>
          <w:szCs w:val="22"/>
        </w:rPr>
      </w:pPr>
      <w:r w:rsidRPr="00CC5F21">
        <w:rPr>
          <w:rFonts w:ascii="Arial" w:hAnsi="Arial" w:cs="Arial"/>
          <w:b/>
          <w:bCs/>
          <w:smallCaps/>
          <w:color w:val="4F6228" w:themeColor="accent3" w:themeShade="80"/>
        </w:rPr>
        <w:t>Course Goals and Objectives:</w:t>
      </w:r>
    </w:p>
    <w:p w14:paraId="01BE0E08" w14:textId="77777777" w:rsidR="00E57F79" w:rsidRDefault="00E57F79">
      <w:pPr>
        <w:rPr>
          <w:rFonts w:ascii="Arial" w:hAnsi="Arial" w:cs="Arial"/>
          <w:bCs/>
          <w:sz w:val="22"/>
          <w:szCs w:val="22"/>
        </w:rPr>
      </w:pPr>
    </w:p>
    <w:p w14:paraId="7973AE95" w14:textId="025B1E17" w:rsidR="00B2063D" w:rsidRPr="00DC3308" w:rsidRDefault="00B2063D" w:rsidP="00DC3308">
      <w:pPr>
        <w:pStyle w:val="ListParagraph"/>
        <w:numPr>
          <w:ilvl w:val="0"/>
          <w:numId w:val="10"/>
        </w:numPr>
        <w:rPr>
          <w:rFonts w:ascii="Arial" w:hAnsi="Arial" w:cs="Arial"/>
          <w:bCs/>
          <w:sz w:val="22"/>
          <w:szCs w:val="22"/>
        </w:rPr>
      </w:pPr>
      <w:r w:rsidRPr="00DC3308">
        <w:rPr>
          <w:rFonts w:ascii="Arial" w:hAnsi="Arial" w:cs="Arial"/>
          <w:bCs/>
          <w:sz w:val="22"/>
          <w:szCs w:val="22"/>
        </w:rPr>
        <w:t>Drawing on context assessment and conflict analysis frameworks, l</w:t>
      </w:r>
      <w:r w:rsidR="0043261F" w:rsidRPr="00DC3308">
        <w:rPr>
          <w:rFonts w:ascii="Arial" w:hAnsi="Arial" w:cs="Arial"/>
          <w:bCs/>
          <w:sz w:val="22"/>
          <w:szCs w:val="22"/>
        </w:rPr>
        <w:t>earn how to conduct exploratory conversations t</w:t>
      </w:r>
      <w:r w:rsidRPr="00DC3308">
        <w:rPr>
          <w:rFonts w:ascii="Arial" w:hAnsi="Arial" w:cs="Arial"/>
          <w:bCs/>
          <w:sz w:val="22"/>
          <w:szCs w:val="22"/>
        </w:rPr>
        <w:t>hat</w:t>
      </w:r>
      <w:r w:rsidR="0043261F" w:rsidRPr="00DC3308">
        <w:rPr>
          <w:rFonts w:ascii="Arial" w:hAnsi="Arial" w:cs="Arial"/>
          <w:bCs/>
          <w:sz w:val="22"/>
          <w:szCs w:val="22"/>
        </w:rPr>
        <w:t xml:space="preserve"> elicit perspectives, interests, </w:t>
      </w:r>
      <w:r w:rsidRPr="00DC3308">
        <w:rPr>
          <w:rFonts w:ascii="Arial" w:hAnsi="Arial" w:cs="Arial"/>
          <w:bCs/>
          <w:sz w:val="22"/>
          <w:szCs w:val="22"/>
        </w:rPr>
        <w:t>needs, issues and hopes from key stakeholders.</w:t>
      </w:r>
      <w:r w:rsidR="004C2174" w:rsidRPr="00DC3308">
        <w:rPr>
          <w:rFonts w:ascii="Arial" w:hAnsi="Arial" w:cs="Arial"/>
          <w:bCs/>
          <w:sz w:val="22"/>
          <w:szCs w:val="22"/>
        </w:rPr>
        <w:t xml:space="preserve"> Use </w:t>
      </w:r>
      <w:r w:rsidR="00EC009E" w:rsidRPr="00DC3308">
        <w:rPr>
          <w:rFonts w:ascii="Arial" w:hAnsi="Arial" w:cs="Arial"/>
          <w:bCs/>
          <w:sz w:val="22"/>
          <w:szCs w:val="22"/>
        </w:rPr>
        <w:t xml:space="preserve">this insight to help frame an inclusive process with </w:t>
      </w:r>
      <w:r w:rsidR="00730B61" w:rsidRPr="00DC3308">
        <w:rPr>
          <w:rFonts w:ascii="Arial" w:hAnsi="Arial" w:cs="Arial"/>
          <w:bCs/>
          <w:sz w:val="22"/>
          <w:szCs w:val="22"/>
        </w:rPr>
        <w:t>a clear</w:t>
      </w:r>
      <w:r w:rsidR="00EC009E" w:rsidRPr="00DC3308">
        <w:rPr>
          <w:rFonts w:ascii="Arial" w:hAnsi="Arial" w:cs="Arial"/>
          <w:bCs/>
          <w:sz w:val="22"/>
          <w:szCs w:val="22"/>
        </w:rPr>
        <w:t xml:space="preserve"> purpose</w:t>
      </w:r>
      <w:r w:rsidR="00A053B5" w:rsidRPr="00DC3308">
        <w:rPr>
          <w:rFonts w:ascii="Arial" w:hAnsi="Arial" w:cs="Arial"/>
          <w:bCs/>
          <w:sz w:val="22"/>
          <w:szCs w:val="22"/>
        </w:rPr>
        <w:t xml:space="preserve"> and to design an</w:t>
      </w:r>
      <w:r w:rsidR="00730B61" w:rsidRPr="00DC3308">
        <w:rPr>
          <w:rFonts w:ascii="Arial" w:hAnsi="Arial" w:cs="Arial"/>
          <w:bCs/>
          <w:sz w:val="22"/>
          <w:szCs w:val="22"/>
        </w:rPr>
        <w:t xml:space="preserve"> appropriate </w:t>
      </w:r>
      <w:r w:rsidR="00A053B5" w:rsidRPr="00DC3308">
        <w:rPr>
          <w:rFonts w:ascii="Arial" w:hAnsi="Arial" w:cs="Arial"/>
          <w:bCs/>
          <w:sz w:val="22"/>
          <w:szCs w:val="22"/>
        </w:rPr>
        <w:t xml:space="preserve">process </w:t>
      </w:r>
      <w:r w:rsidR="00730B61" w:rsidRPr="00DC3308">
        <w:rPr>
          <w:rFonts w:ascii="Arial" w:hAnsi="Arial" w:cs="Arial"/>
          <w:bCs/>
          <w:sz w:val="22"/>
          <w:szCs w:val="22"/>
        </w:rPr>
        <w:t>to support the group through a change process.</w:t>
      </w:r>
    </w:p>
    <w:p w14:paraId="03016318" w14:textId="77777777" w:rsidR="0007147D" w:rsidRPr="00DC3308" w:rsidRDefault="0007147D" w:rsidP="0007147D">
      <w:pPr>
        <w:pStyle w:val="ListParagraph"/>
        <w:numPr>
          <w:ilvl w:val="0"/>
          <w:numId w:val="10"/>
        </w:numPr>
        <w:rPr>
          <w:rFonts w:ascii="Arial" w:hAnsi="Arial" w:cs="Arial"/>
          <w:bCs/>
          <w:sz w:val="22"/>
          <w:szCs w:val="22"/>
        </w:rPr>
      </w:pPr>
      <w:r w:rsidRPr="00DC3308">
        <w:rPr>
          <w:rFonts w:ascii="Arial" w:hAnsi="Arial" w:cs="Arial"/>
          <w:bCs/>
          <w:sz w:val="22"/>
          <w:szCs w:val="22"/>
        </w:rPr>
        <w:t>Gain familiarity with a range of process methods and their appropriateness for unique situations. Understand when and why to adapt them or to ‘mix and match’ methods.</w:t>
      </w:r>
    </w:p>
    <w:p w14:paraId="46C134AB" w14:textId="26F04D8C" w:rsidR="004C2174" w:rsidRPr="00DC3308" w:rsidRDefault="00B2063D" w:rsidP="00DC3308">
      <w:pPr>
        <w:pStyle w:val="ListParagraph"/>
        <w:numPr>
          <w:ilvl w:val="0"/>
          <w:numId w:val="10"/>
        </w:numPr>
        <w:rPr>
          <w:rFonts w:ascii="Arial" w:hAnsi="Arial" w:cs="Arial"/>
          <w:bCs/>
          <w:sz w:val="22"/>
          <w:szCs w:val="22"/>
        </w:rPr>
      </w:pPr>
      <w:r w:rsidRPr="00DC3308">
        <w:rPr>
          <w:rFonts w:ascii="Arial" w:hAnsi="Arial" w:cs="Arial"/>
          <w:bCs/>
          <w:sz w:val="22"/>
          <w:szCs w:val="22"/>
        </w:rPr>
        <w:t xml:space="preserve">Understand the applications of theories of change and theories of practice to process design and </w:t>
      </w:r>
      <w:r w:rsidR="004C2174" w:rsidRPr="00DC3308">
        <w:rPr>
          <w:rFonts w:ascii="Arial" w:hAnsi="Arial" w:cs="Arial"/>
          <w:bCs/>
          <w:sz w:val="22"/>
          <w:szCs w:val="22"/>
        </w:rPr>
        <w:t>to underpin more skillful and responsive action</w:t>
      </w:r>
      <w:r w:rsidR="00EC009E" w:rsidRPr="00DC3308">
        <w:rPr>
          <w:rFonts w:ascii="Arial" w:hAnsi="Arial" w:cs="Arial"/>
          <w:bCs/>
          <w:sz w:val="22"/>
          <w:szCs w:val="22"/>
        </w:rPr>
        <w:t xml:space="preserve">, supporting </w:t>
      </w:r>
      <w:r w:rsidR="004C2174" w:rsidRPr="00DC3308">
        <w:rPr>
          <w:rFonts w:ascii="Arial" w:hAnsi="Arial" w:cs="Arial"/>
          <w:bCs/>
          <w:sz w:val="22"/>
          <w:szCs w:val="22"/>
        </w:rPr>
        <w:t xml:space="preserve">development as reflective </w:t>
      </w:r>
      <w:r w:rsidR="00EC009E" w:rsidRPr="00DC3308">
        <w:rPr>
          <w:rFonts w:ascii="Arial" w:hAnsi="Arial" w:cs="Arial"/>
          <w:bCs/>
          <w:sz w:val="22"/>
          <w:szCs w:val="22"/>
        </w:rPr>
        <w:t>practitioners</w:t>
      </w:r>
      <w:r w:rsidR="004C2174" w:rsidRPr="00DC3308">
        <w:rPr>
          <w:rFonts w:ascii="Arial" w:hAnsi="Arial" w:cs="Arial"/>
          <w:bCs/>
          <w:sz w:val="22"/>
          <w:szCs w:val="22"/>
        </w:rPr>
        <w:t>.</w:t>
      </w:r>
    </w:p>
    <w:p w14:paraId="6BDBC8AD" w14:textId="73F4F1B7" w:rsidR="00EC009E" w:rsidRPr="00DC3308" w:rsidRDefault="00EC009E" w:rsidP="00DC3308">
      <w:pPr>
        <w:pStyle w:val="ListParagraph"/>
        <w:numPr>
          <w:ilvl w:val="0"/>
          <w:numId w:val="10"/>
        </w:numPr>
        <w:rPr>
          <w:rFonts w:ascii="Arial" w:hAnsi="Arial" w:cs="Arial"/>
          <w:bCs/>
          <w:sz w:val="22"/>
          <w:szCs w:val="22"/>
        </w:rPr>
      </w:pPr>
      <w:r w:rsidRPr="00DC3308">
        <w:rPr>
          <w:rFonts w:ascii="Arial" w:hAnsi="Arial" w:cs="Arial"/>
          <w:bCs/>
          <w:sz w:val="22"/>
          <w:szCs w:val="22"/>
        </w:rPr>
        <w:t>Engage with critical issues and dilemmas in process design for conflict transformation, learning from innovation and identifying ongoing critical edge</w:t>
      </w:r>
      <w:r w:rsidR="00A053B5" w:rsidRPr="00DC3308">
        <w:rPr>
          <w:rFonts w:ascii="Arial" w:hAnsi="Arial" w:cs="Arial"/>
          <w:bCs/>
          <w:sz w:val="22"/>
          <w:szCs w:val="22"/>
        </w:rPr>
        <w:t xml:space="preserve"> challenges</w:t>
      </w:r>
      <w:r w:rsidR="00DC3308">
        <w:rPr>
          <w:rFonts w:ascii="Arial" w:hAnsi="Arial" w:cs="Arial"/>
          <w:bCs/>
          <w:sz w:val="22"/>
          <w:szCs w:val="22"/>
        </w:rPr>
        <w:t xml:space="preserve"> to inform praxis.</w:t>
      </w:r>
    </w:p>
    <w:p w14:paraId="5BBFBF31" w14:textId="10024178" w:rsidR="00DC3308" w:rsidRDefault="00DC3308" w:rsidP="00DC3308">
      <w:pPr>
        <w:pStyle w:val="ListParagraph"/>
        <w:numPr>
          <w:ilvl w:val="0"/>
          <w:numId w:val="10"/>
        </w:numPr>
        <w:rPr>
          <w:rFonts w:ascii="Arial" w:hAnsi="Arial" w:cs="Arial"/>
          <w:bCs/>
          <w:sz w:val="22"/>
          <w:szCs w:val="22"/>
        </w:rPr>
      </w:pPr>
      <w:r>
        <w:rPr>
          <w:rFonts w:ascii="Arial" w:hAnsi="Arial" w:cs="Arial"/>
          <w:bCs/>
          <w:sz w:val="22"/>
          <w:szCs w:val="22"/>
        </w:rPr>
        <w:t>Through an intersectional lens, develop an appreciation of the need to e</w:t>
      </w:r>
      <w:r w:rsidR="007A6157" w:rsidRPr="00DC3308">
        <w:rPr>
          <w:rFonts w:ascii="Arial" w:hAnsi="Arial" w:cs="Arial"/>
          <w:bCs/>
          <w:sz w:val="22"/>
          <w:szCs w:val="22"/>
        </w:rPr>
        <w:t xml:space="preserve">xplore one’s own positionality in relation </w:t>
      </w:r>
      <w:r>
        <w:rPr>
          <w:rFonts w:ascii="Arial" w:hAnsi="Arial" w:cs="Arial"/>
          <w:bCs/>
          <w:sz w:val="22"/>
          <w:szCs w:val="22"/>
        </w:rPr>
        <w:t>to the context and the group.</w:t>
      </w:r>
    </w:p>
    <w:p w14:paraId="0F0C6672" w14:textId="16CA6590" w:rsidR="007A6157" w:rsidRPr="00DC3308" w:rsidRDefault="00DC3308" w:rsidP="00DC3308">
      <w:pPr>
        <w:pStyle w:val="ListParagraph"/>
        <w:numPr>
          <w:ilvl w:val="0"/>
          <w:numId w:val="10"/>
        </w:numPr>
        <w:rPr>
          <w:rFonts w:ascii="Arial" w:hAnsi="Arial" w:cs="Arial"/>
          <w:bCs/>
          <w:sz w:val="22"/>
          <w:szCs w:val="22"/>
        </w:rPr>
      </w:pPr>
      <w:r>
        <w:rPr>
          <w:rFonts w:ascii="Arial" w:hAnsi="Arial" w:cs="Arial"/>
          <w:bCs/>
          <w:sz w:val="22"/>
          <w:szCs w:val="22"/>
        </w:rPr>
        <w:t>E</w:t>
      </w:r>
      <w:r w:rsidRPr="00DC3308">
        <w:rPr>
          <w:rFonts w:ascii="Arial" w:hAnsi="Arial" w:cs="Arial"/>
          <w:bCs/>
          <w:sz w:val="22"/>
          <w:szCs w:val="22"/>
        </w:rPr>
        <w:t xml:space="preserve">xplore and articulate </w:t>
      </w:r>
      <w:r w:rsidR="0007147D">
        <w:rPr>
          <w:rFonts w:ascii="Arial" w:hAnsi="Arial" w:cs="Arial"/>
          <w:bCs/>
          <w:sz w:val="22"/>
          <w:szCs w:val="22"/>
        </w:rPr>
        <w:t xml:space="preserve">one’s own </w:t>
      </w:r>
      <w:r w:rsidRPr="00DC3308">
        <w:rPr>
          <w:rFonts w:ascii="Arial" w:hAnsi="Arial" w:cs="Arial"/>
          <w:bCs/>
          <w:sz w:val="22"/>
          <w:szCs w:val="22"/>
        </w:rPr>
        <w:t>guiding values, principles, and ethics</w:t>
      </w:r>
      <w:r>
        <w:rPr>
          <w:rFonts w:ascii="Arial" w:hAnsi="Arial" w:cs="Arial"/>
          <w:bCs/>
          <w:sz w:val="22"/>
          <w:szCs w:val="22"/>
        </w:rPr>
        <w:t xml:space="preserve"> for engaging in group processes for conflict transformation</w:t>
      </w:r>
      <w:r w:rsidRPr="00DC3308">
        <w:rPr>
          <w:rFonts w:ascii="Arial" w:hAnsi="Arial" w:cs="Arial"/>
          <w:bCs/>
          <w:sz w:val="22"/>
          <w:szCs w:val="22"/>
        </w:rPr>
        <w:t>.</w:t>
      </w:r>
    </w:p>
    <w:p w14:paraId="589BE107" w14:textId="612814D9" w:rsidR="00E57F79" w:rsidRDefault="00E57F79" w:rsidP="00E57F79">
      <w:pPr>
        <w:rPr>
          <w:rFonts w:ascii="Arial" w:hAnsi="Arial" w:cs="Arial"/>
          <w:b/>
          <w:bCs/>
          <w:smallCaps/>
          <w:color w:val="4F6228" w:themeColor="accent3" w:themeShade="80"/>
        </w:rPr>
      </w:pPr>
      <w:r w:rsidRPr="00CC5F21">
        <w:rPr>
          <w:rFonts w:ascii="Arial" w:hAnsi="Arial" w:cs="Arial"/>
          <w:b/>
          <w:bCs/>
          <w:smallCaps/>
          <w:color w:val="4F6228" w:themeColor="accent3" w:themeShade="80"/>
        </w:rPr>
        <w:lastRenderedPageBreak/>
        <w:t>Required Texts and Other Resources:</w:t>
      </w:r>
    </w:p>
    <w:p w14:paraId="6F14BA3C" w14:textId="594DFE33" w:rsidR="00E57F79" w:rsidRPr="004A00DF" w:rsidRDefault="00E57F79" w:rsidP="004A00DF">
      <w:pPr>
        <w:rPr>
          <w:rFonts w:ascii="Arial" w:hAnsi="Arial" w:cs="Arial"/>
          <w:sz w:val="22"/>
          <w:szCs w:val="22"/>
        </w:rPr>
      </w:pPr>
    </w:p>
    <w:p w14:paraId="05A4AD76" w14:textId="1FF9CDF1" w:rsidR="00075AED" w:rsidRPr="00CB603D" w:rsidRDefault="004A00DF" w:rsidP="004A00DF">
      <w:pPr>
        <w:rPr>
          <w:rFonts w:ascii="Arial" w:hAnsi="Arial" w:cs="Arial"/>
          <w:sz w:val="22"/>
          <w:szCs w:val="22"/>
        </w:rPr>
      </w:pPr>
      <w:r w:rsidRPr="00CB603D">
        <w:rPr>
          <w:rFonts w:ascii="Arial" w:hAnsi="Arial" w:cs="Arial"/>
          <w:sz w:val="22"/>
          <w:szCs w:val="22"/>
        </w:rPr>
        <w:t xml:space="preserve">Participants are not required to purchase books for this class, as all readings will be available on the class </w:t>
      </w:r>
      <w:proofErr w:type="spellStart"/>
      <w:r w:rsidRPr="00CB603D">
        <w:rPr>
          <w:rFonts w:ascii="Arial" w:hAnsi="Arial" w:cs="Arial"/>
          <w:sz w:val="22"/>
          <w:szCs w:val="22"/>
        </w:rPr>
        <w:t>moodle</w:t>
      </w:r>
      <w:proofErr w:type="spellEnd"/>
      <w:r w:rsidRPr="00CB603D">
        <w:rPr>
          <w:rFonts w:ascii="Arial" w:hAnsi="Arial" w:cs="Arial"/>
          <w:sz w:val="22"/>
          <w:szCs w:val="22"/>
        </w:rPr>
        <w:t xml:space="preserve"> site</w:t>
      </w:r>
      <w:r w:rsidR="00075AED" w:rsidRPr="00CB603D">
        <w:rPr>
          <w:rFonts w:ascii="Arial" w:hAnsi="Arial" w:cs="Arial"/>
          <w:sz w:val="22"/>
          <w:szCs w:val="22"/>
        </w:rPr>
        <w:t xml:space="preserve"> from publications in the public domain or e-books available through EMU’s Hartzler Library</w:t>
      </w:r>
      <w:r w:rsidRPr="00CB603D">
        <w:rPr>
          <w:rFonts w:ascii="Arial" w:hAnsi="Arial" w:cs="Arial"/>
          <w:sz w:val="22"/>
          <w:szCs w:val="22"/>
        </w:rPr>
        <w:t xml:space="preserve">. </w:t>
      </w:r>
    </w:p>
    <w:p w14:paraId="78A4470A" w14:textId="7EE4CABA" w:rsidR="004A00DF" w:rsidRPr="004A00DF" w:rsidRDefault="00075AED" w:rsidP="004A00DF">
      <w:pPr>
        <w:rPr>
          <w:rFonts w:ascii="Arial" w:hAnsi="Arial" w:cs="Arial"/>
          <w:sz w:val="22"/>
          <w:szCs w:val="22"/>
        </w:rPr>
      </w:pPr>
      <w:r>
        <w:rPr>
          <w:rFonts w:ascii="Arial" w:hAnsi="Arial" w:cs="Arial"/>
          <w:sz w:val="22"/>
          <w:szCs w:val="22"/>
        </w:rPr>
        <w:t xml:space="preserve"> </w:t>
      </w:r>
    </w:p>
    <w:p w14:paraId="113BBF49" w14:textId="77777777" w:rsidR="004A00DF" w:rsidRPr="004A00DF" w:rsidRDefault="004A00DF" w:rsidP="004A00DF">
      <w:pPr>
        <w:rPr>
          <w:rFonts w:ascii="Arial" w:hAnsi="Arial" w:cs="Arial"/>
          <w:sz w:val="22"/>
          <w:szCs w:val="22"/>
        </w:rPr>
      </w:pPr>
    </w:p>
    <w:p w14:paraId="02F05E11" w14:textId="77777777" w:rsidR="001D7B36" w:rsidRPr="00CC5F21" w:rsidRDefault="008E64AA" w:rsidP="001D7B36">
      <w:pPr>
        <w:rPr>
          <w:rFonts w:ascii="Arial" w:hAnsi="Arial" w:cs="Arial"/>
          <w:b/>
          <w:bCs/>
          <w:smallCaps/>
          <w:color w:val="4F6228" w:themeColor="accent3" w:themeShade="80"/>
          <w:sz w:val="22"/>
          <w:szCs w:val="22"/>
        </w:rPr>
      </w:pPr>
      <w:r w:rsidRPr="00CC5F21">
        <w:rPr>
          <w:rFonts w:ascii="Arial" w:hAnsi="Arial" w:cs="Arial"/>
          <w:b/>
          <w:bCs/>
          <w:smallCaps/>
          <w:color w:val="4F6228" w:themeColor="accent3" w:themeShade="80"/>
        </w:rPr>
        <w:t>Required Assignments</w:t>
      </w:r>
      <w:r w:rsidR="001D7B36" w:rsidRPr="00CC5F21">
        <w:rPr>
          <w:rFonts w:ascii="Arial" w:hAnsi="Arial" w:cs="Arial"/>
          <w:b/>
          <w:bCs/>
          <w:smallCaps/>
          <w:color w:val="4F6228" w:themeColor="accent3" w:themeShade="80"/>
        </w:rPr>
        <w:t>:</w:t>
      </w:r>
    </w:p>
    <w:p w14:paraId="5A556354" w14:textId="0E2A3D60" w:rsidR="00E57F79" w:rsidRDefault="00E57F79">
      <w:pPr>
        <w:rPr>
          <w:rFonts w:ascii="Arial" w:hAnsi="Arial" w:cs="Arial"/>
          <w:bCs/>
          <w:sz w:val="22"/>
          <w:szCs w:val="22"/>
        </w:rPr>
      </w:pPr>
    </w:p>
    <w:p w14:paraId="5AB37C2E" w14:textId="30088402" w:rsidR="00124B6B" w:rsidRDefault="00124B6B" w:rsidP="002E6A1B">
      <w:pPr>
        <w:rPr>
          <w:rFonts w:ascii="Arial" w:eastAsia="Times New Roman" w:hAnsi="Arial" w:cs="Arial"/>
          <w:sz w:val="22"/>
          <w:szCs w:val="22"/>
        </w:rPr>
      </w:pPr>
      <w:r>
        <w:rPr>
          <w:rFonts w:ascii="Arial" w:eastAsia="Times New Roman" w:hAnsi="Arial" w:cs="Arial"/>
          <w:sz w:val="22"/>
          <w:szCs w:val="22"/>
        </w:rPr>
        <w:t xml:space="preserve">This class is available for professional education / training for those who do not wish to take the class for graduate credit. If so, the expectations for class participation and engaging in the class forum remain the same as for those taking it for graduate credit. </w:t>
      </w:r>
    </w:p>
    <w:p w14:paraId="51BD1791" w14:textId="5E3E0385" w:rsidR="00124B6B" w:rsidRDefault="00124B6B" w:rsidP="002E6A1B">
      <w:pPr>
        <w:rPr>
          <w:rFonts w:ascii="Arial" w:eastAsia="Times New Roman" w:hAnsi="Arial" w:cs="Arial"/>
          <w:sz w:val="22"/>
          <w:szCs w:val="22"/>
        </w:rPr>
      </w:pPr>
    </w:p>
    <w:tbl>
      <w:tblPr>
        <w:tblStyle w:val="TableGrid"/>
        <w:tblW w:w="0" w:type="auto"/>
        <w:tblLook w:val="04A0" w:firstRow="1" w:lastRow="0" w:firstColumn="1" w:lastColumn="0" w:noHBand="0" w:noVBand="1"/>
      </w:tblPr>
      <w:tblGrid>
        <w:gridCol w:w="2875"/>
        <w:gridCol w:w="1170"/>
        <w:gridCol w:w="6025"/>
      </w:tblGrid>
      <w:tr w:rsidR="00124B6B" w14:paraId="616FD5E6" w14:textId="77777777" w:rsidTr="00EC009E">
        <w:tc>
          <w:tcPr>
            <w:tcW w:w="2875" w:type="dxa"/>
          </w:tcPr>
          <w:p w14:paraId="71AA0A62" w14:textId="1AE5FA5C" w:rsidR="00124B6B" w:rsidRPr="007A6157" w:rsidRDefault="00124B6B" w:rsidP="002E6A1B">
            <w:pPr>
              <w:rPr>
                <w:rFonts w:ascii="Arial" w:hAnsi="Arial" w:cs="Arial"/>
                <w:b/>
                <w:sz w:val="22"/>
                <w:szCs w:val="22"/>
              </w:rPr>
            </w:pPr>
            <w:r w:rsidRPr="007A6157">
              <w:rPr>
                <w:rFonts w:ascii="Arial" w:hAnsi="Arial" w:cs="Arial"/>
                <w:b/>
                <w:sz w:val="22"/>
                <w:szCs w:val="22"/>
              </w:rPr>
              <w:t>Class participation</w:t>
            </w:r>
          </w:p>
          <w:p w14:paraId="53BE0732" w14:textId="41BBBEB2" w:rsidR="00124B6B" w:rsidRPr="007A6157" w:rsidRDefault="007A6157" w:rsidP="002E6A1B">
            <w:pPr>
              <w:rPr>
                <w:rFonts w:ascii="Arial" w:hAnsi="Arial" w:cs="Arial"/>
                <w:bCs/>
                <w:i/>
                <w:iCs/>
                <w:sz w:val="22"/>
                <w:szCs w:val="22"/>
              </w:rPr>
            </w:pPr>
            <w:r w:rsidRPr="007A6157">
              <w:rPr>
                <w:rFonts w:ascii="Arial" w:hAnsi="Arial" w:cs="Arial"/>
                <w:bCs/>
                <w:i/>
                <w:iCs/>
                <w:sz w:val="22"/>
                <w:szCs w:val="22"/>
              </w:rPr>
              <w:t>Everyone, including professional development</w:t>
            </w:r>
          </w:p>
        </w:tc>
        <w:tc>
          <w:tcPr>
            <w:tcW w:w="1170" w:type="dxa"/>
          </w:tcPr>
          <w:p w14:paraId="3C26F1EA" w14:textId="62116045" w:rsidR="00124B6B" w:rsidRDefault="00124B6B" w:rsidP="002E6A1B">
            <w:pPr>
              <w:rPr>
                <w:rFonts w:ascii="Arial" w:hAnsi="Arial" w:cs="Arial"/>
                <w:bCs/>
                <w:sz w:val="22"/>
                <w:szCs w:val="22"/>
              </w:rPr>
            </w:pPr>
            <w:r>
              <w:rPr>
                <w:rFonts w:ascii="Arial" w:hAnsi="Arial" w:cs="Arial"/>
                <w:bCs/>
                <w:sz w:val="22"/>
                <w:szCs w:val="22"/>
              </w:rPr>
              <w:t>10 points</w:t>
            </w:r>
          </w:p>
        </w:tc>
        <w:tc>
          <w:tcPr>
            <w:tcW w:w="6025" w:type="dxa"/>
          </w:tcPr>
          <w:p w14:paraId="3D1B754D" w14:textId="7929B2C5" w:rsidR="00124B6B" w:rsidRDefault="00FC052A" w:rsidP="002E6A1B">
            <w:pPr>
              <w:rPr>
                <w:rFonts w:ascii="Arial" w:hAnsi="Arial" w:cs="Arial"/>
                <w:bCs/>
                <w:sz w:val="22"/>
                <w:szCs w:val="22"/>
              </w:rPr>
            </w:pPr>
            <w:r>
              <w:rPr>
                <w:rFonts w:ascii="Arial" w:hAnsi="Arial" w:cs="Arial"/>
                <w:bCs/>
                <w:sz w:val="22"/>
                <w:szCs w:val="22"/>
              </w:rPr>
              <w:t>Active</w:t>
            </w:r>
            <w:r w:rsidR="00124B6B">
              <w:rPr>
                <w:rFonts w:ascii="Arial" w:hAnsi="Arial" w:cs="Arial"/>
                <w:bCs/>
                <w:sz w:val="22"/>
                <w:szCs w:val="22"/>
              </w:rPr>
              <w:t xml:space="preserve"> participation in each of the 6 synchronous class sessions</w:t>
            </w:r>
          </w:p>
        </w:tc>
      </w:tr>
      <w:tr w:rsidR="00124B6B" w14:paraId="0CB66216" w14:textId="77777777" w:rsidTr="00EC009E">
        <w:tc>
          <w:tcPr>
            <w:tcW w:w="2875" w:type="dxa"/>
          </w:tcPr>
          <w:p w14:paraId="2C703E5B" w14:textId="77777777" w:rsidR="00124B6B" w:rsidRPr="007A6157" w:rsidRDefault="00124B6B" w:rsidP="002E6A1B">
            <w:pPr>
              <w:rPr>
                <w:rFonts w:ascii="Arial" w:hAnsi="Arial" w:cs="Arial"/>
                <w:b/>
                <w:sz w:val="22"/>
                <w:szCs w:val="22"/>
              </w:rPr>
            </w:pPr>
            <w:r w:rsidRPr="007A6157">
              <w:rPr>
                <w:rFonts w:ascii="Arial" w:hAnsi="Arial" w:cs="Arial"/>
                <w:b/>
                <w:sz w:val="22"/>
                <w:szCs w:val="22"/>
              </w:rPr>
              <w:t>Asynchronous participation</w:t>
            </w:r>
          </w:p>
          <w:p w14:paraId="1A6DCAF9" w14:textId="704D8646" w:rsidR="00124B6B" w:rsidRDefault="007A6157" w:rsidP="002E6A1B">
            <w:pPr>
              <w:rPr>
                <w:rFonts w:ascii="Arial" w:hAnsi="Arial" w:cs="Arial"/>
                <w:bCs/>
                <w:sz w:val="22"/>
                <w:szCs w:val="22"/>
              </w:rPr>
            </w:pPr>
            <w:r w:rsidRPr="007A6157">
              <w:rPr>
                <w:rFonts w:ascii="Arial" w:hAnsi="Arial" w:cs="Arial"/>
                <w:bCs/>
                <w:i/>
                <w:iCs/>
                <w:sz w:val="22"/>
                <w:szCs w:val="22"/>
              </w:rPr>
              <w:t>Everyone, including professional development</w:t>
            </w:r>
          </w:p>
        </w:tc>
        <w:tc>
          <w:tcPr>
            <w:tcW w:w="1170" w:type="dxa"/>
          </w:tcPr>
          <w:p w14:paraId="011073F3" w14:textId="1140954F" w:rsidR="00124B6B" w:rsidRDefault="00124B6B" w:rsidP="002E6A1B">
            <w:pPr>
              <w:rPr>
                <w:rFonts w:ascii="Arial" w:hAnsi="Arial" w:cs="Arial"/>
                <w:bCs/>
                <w:sz w:val="22"/>
                <w:szCs w:val="22"/>
              </w:rPr>
            </w:pPr>
            <w:r>
              <w:rPr>
                <w:rFonts w:ascii="Arial" w:hAnsi="Arial" w:cs="Arial"/>
                <w:bCs/>
                <w:sz w:val="22"/>
                <w:szCs w:val="22"/>
              </w:rPr>
              <w:t>15 points</w:t>
            </w:r>
          </w:p>
        </w:tc>
        <w:tc>
          <w:tcPr>
            <w:tcW w:w="6025" w:type="dxa"/>
          </w:tcPr>
          <w:p w14:paraId="6468E85A" w14:textId="77777777" w:rsidR="00124B6B" w:rsidRDefault="00124B6B" w:rsidP="002E6A1B">
            <w:pPr>
              <w:rPr>
                <w:rFonts w:ascii="Arial" w:hAnsi="Arial" w:cs="Arial"/>
                <w:bCs/>
                <w:sz w:val="22"/>
                <w:szCs w:val="22"/>
              </w:rPr>
            </w:pPr>
            <w:r>
              <w:rPr>
                <w:rFonts w:ascii="Arial" w:hAnsi="Arial" w:cs="Arial"/>
                <w:bCs/>
                <w:sz w:val="22"/>
                <w:szCs w:val="22"/>
              </w:rPr>
              <w:t>Contributions to the online forums</w:t>
            </w:r>
            <w:r w:rsidR="00EC009E">
              <w:rPr>
                <w:rFonts w:ascii="Arial" w:hAnsi="Arial" w:cs="Arial"/>
                <w:bCs/>
                <w:sz w:val="22"/>
                <w:szCs w:val="22"/>
              </w:rPr>
              <w:t xml:space="preserve"> through responses to instructor and participants’ questions and comments</w:t>
            </w:r>
            <w:r>
              <w:rPr>
                <w:rFonts w:ascii="Arial" w:hAnsi="Arial" w:cs="Arial"/>
                <w:bCs/>
                <w:sz w:val="22"/>
                <w:szCs w:val="22"/>
              </w:rPr>
              <w:t xml:space="preserve">, drawing on class </w:t>
            </w:r>
            <w:r w:rsidR="00EC009E">
              <w:rPr>
                <w:rFonts w:ascii="Arial" w:hAnsi="Arial" w:cs="Arial"/>
                <w:bCs/>
                <w:sz w:val="22"/>
                <w:szCs w:val="22"/>
              </w:rPr>
              <w:t>readings,</w:t>
            </w:r>
            <w:r>
              <w:rPr>
                <w:rFonts w:ascii="Arial" w:hAnsi="Arial" w:cs="Arial"/>
                <w:bCs/>
                <w:sz w:val="22"/>
                <w:szCs w:val="22"/>
              </w:rPr>
              <w:t xml:space="preserve"> lived experience and</w:t>
            </w:r>
            <w:r w:rsidR="00EC009E">
              <w:rPr>
                <w:rFonts w:ascii="Arial" w:hAnsi="Arial" w:cs="Arial"/>
                <w:bCs/>
                <w:sz w:val="22"/>
                <w:szCs w:val="22"/>
              </w:rPr>
              <w:t xml:space="preserve"> other relevant sources.</w:t>
            </w:r>
          </w:p>
          <w:p w14:paraId="6F3CDB4F" w14:textId="4A1D62ED" w:rsidR="007A6157" w:rsidRDefault="007A6157" w:rsidP="002E6A1B">
            <w:pPr>
              <w:rPr>
                <w:rFonts w:ascii="Arial" w:hAnsi="Arial" w:cs="Arial"/>
                <w:bCs/>
                <w:sz w:val="22"/>
                <w:szCs w:val="22"/>
              </w:rPr>
            </w:pPr>
          </w:p>
        </w:tc>
      </w:tr>
      <w:tr w:rsidR="00124B6B" w14:paraId="667AC8B1" w14:textId="77777777" w:rsidTr="00EC009E">
        <w:tc>
          <w:tcPr>
            <w:tcW w:w="2875" w:type="dxa"/>
          </w:tcPr>
          <w:p w14:paraId="4DDD4781" w14:textId="77777777" w:rsidR="00124B6B" w:rsidRPr="007A6157" w:rsidRDefault="00124B6B" w:rsidP="002E6A1B">
            <w:pPr>
              <w:rPr>
                <w:rFonts w:ascii="Arial" w:hAnsi="Arial" w:cs="Arial"/>
                <w:b/>
                <w:sz w:val="22"/>
                <w:szCs w:val="22"/>
              </w:rPr>
            </w:pPr>
            <w:r w:rsidRPr="007A6157">
              <w:rPr>
                <w:rFonts w:ascii="Arial" w:hAnsi="Arial" w:cs="Arial"/>
                <w:b/>
                <w:sz w:val="22"/>
                <w:szCs w:val="22"/>
              </w:rPr>
              <w:t xml:space="preserve">Reflection paper </w:t>
            </w:r>
          </w:p>
          <w:p w14:paraId="4BDD92B9" w14:textId="4C6DEE0B" w:rsidR="007A6157" w:rsidRPr="007A6157" w:rsidRDefault="007A6157" w:rsidP="002E6A1B">
            <w:pPr>
              <w:rPr>
                <w:rFonts w:ascii="Arial" w:hAnsi="Arial" w:cs="Arial"/>
                <w:bCs/>
                <w:i/>
                <w:iCs/>
                <w:sz w:val="22"/>
                <w:szCs w:val="22"/>
              </w:rPr>
            </w:pPr>
            <w:r w:rsidRPr="007A6157">
              <w:rPr>
                <w:rFonts w:ascii="Arial" w:hAnsi="Arial" w:cs="Arial"/>
                <w:bCs/>
                <w:i/>
                <w:iCs/>
                <w:sz w:val="22"/>
                <w:szCs w:val="22"/>
              </w:rPr>
              <w:t xml:space="preserve">3-credit only </w:t>
            </w:r>
          </w:p>
        </w:tc>
        <w:tc>
          <w:tcPr>
            <w:tcW w:w="1170" w:type="dxa"/>
          </w:tcPr>
          <w:p w14:paraId="0E52ADE9" w14:textId="5BDF0FCC" w:rsidR="00124B6B" w:rsidRDefault="00B2063D" w:rsidP="002E6A1B">
            <w:pPr>
              <w:rPr>
                <w:rFonts w:ascii="Arial" w:hAnsi="Arial" w:cs="Arial"/>
                <w:bCs/>
                <w:sz w:val="22"/>
                <w:szCs w:val="22"/>
              </w:rPr>
            </w:pPr>
            <w:r>
              <w:rPr>
                <w:rFonts w:ascii="Arial" w:hAnsi="Arial" w:cs="Arial"/>
                <w:bCs/>
                <w:sz w:val="22"/>
                <w:szCs w:val="22"/>
              </w:rPr>
              <w:t>25 points</w:t>
            </w:r>
          </w:p>
        </w:tc>
        <w:tc>
          <w:tcPr>
            <w:tcW w:w="6025" w:type="dxa"/>
          </w:tcPr>
          <w:p w14:paraId="6137B6B2" w14:textId="77777777" w:rsidR="00124B6B" w:rsidRDefault="00B2063D" w:rsidP="002E6A1B">
            <w:pPr>
              <w:rPr>
                <w:rFonts w:ascii="Arial" w:hAnsi="Arial" w:cs="Arial"/>
                <w:bCs/>
                <w:sz w:val="22"/>
                <w:szCs w:val="22"/>
              </w:rPr>
            </w:pPr>
            <w:r>
              <w:rPr>
                <w:rFonts w:ascii="Arial" w:hAnsi="Arial" w:cs="Arial"/>
                <w:bCs/>
                <w:sz w:val="22"/>
                <w:szCs w:val="22"/>
              </w:rPr>
              <w:t>Reflecting back on a personal experience in a group process, critically assess the</w:t>
            </w:r>
            <w:r w:rsidR="00EC009E">
              <w:rPr>
                <w:rFonts w:ascii="Arial" w:hAnsi="Arial" w:cs="Arial"/>
                <w:bCs/>
                <w:sz w:val="22"/>
                <w:szCs w:val="22"/>
              </w:rPr>
              <w:t xml:space="preserve"> process</w:t>
            </w:r>
            <w:r w:rsidR="007A6157">
              <w:rPr>
                <w:rFonts w:ascii="Arial" w:hAnsi="Arial" w:cs="Arial"/>
                <w:bCs/>
                <w:sz w:val="22"/>
                <w:szCs w:val="22"/>
              </w:rPr>
              <w:t xml:space="preserve"> drawing on literature and concepts explored in class</w:t>
            </w:r>
            <w:r w:rsidR="00EC009E">
              <w:rPr>
                <w:rFonts w:ascii="Arial" w:hAnsi="Arial" w:cs="Arial"/>
                <w:bCs/>
                <w:sz w:val="22"/>
                <w:szCs w:val="22"/>
              </w:rPr>
              <w:t xml:space="preserve"> to identify insights and learning points for process design and facilitation</w:t>
            </w:r>
            <w:r>
              <w:rPr>
                <w:rFonts w:ascii="Arial" w:hAnsi="Arial" w:cs="Arial"/>
                <w:bCs/>
                <w:sz w:val="22"/>
                <w:szCs w:val="22"/>
              </w:rPr>
              <w:t xml:space="preserve"> (2,000-2,500 words; 6-8 pages)</w:t>
            </w:r>
          </w:p>
          <w:p w14:paraId="14E669F0" w14:textId="018B89F2" w:rsidR="007A6157" w:rsidRDefault="007A6157" w:rsidP="002E6A1B">
            <w:pPr>
              <w:rPr>
                <w:rFonts w:ascii="Arial" w:hAnsi="Arial" w:cs="Arial"/>
                <w:bCs/>
                <w:sz w:val="22"/>
                <w:szCs w:val="22"/>
              </w:rPr>
            </w:pPr>
          </w:p>
        </w:tc>
      </w:tr>
      <w:tr w:rsidR="00124B6B" w14:paraId="05F7012D" w14:textId="77777777" w:rsidTr="00EC009E">
        <w:tc>
          <w:tcPr>
            <w:tcW w:w="2875" w:type="dxa"/>
          </w:tcPr>
          <w:p w14:paraId="46B4E69C" w14:textId="77777777" w:rsidR="00124B6B" w:rsidRPr="007A6157" w:rsidRDefault="00EC009E" w:rsidP="002E6A1B">
            <w:pPr>
              <w:rPr>
                <w:rFonts w:ascii="Arial" w:hAnsi="Arial" w:cs="Arial"/>
                <w:b/>
                <w:sz w:val="22"/>
                <w:szCs w:val="22"/>
              </w:rPr>
            </w:pPr>
            <w:r w:rsidRPr="007A6157">
              <w:rPr>
                <w:rFonts w:ascii="Arial" w:hAnsi="Arial" w:cs="Arial"/>
                <w:b/>
                <w:sz w:val="22"/>
                <w:szCs w:val="22"/>
              </w:rPr>
              <w:t>Cumulative project</w:t>
            </w:r>
          </w:p>
          <w:p w14:paraId="48B45E33" w14:textId="77777777" w:rsidR="00EC009E" w:rsidRDefault="00EC009E" w:rsidP="002E6A1B">
            <w:pPr>
              <w:rPr>
                <w:rFonts w:ascii="Arial" w:hAnsi="Arial" w:cs="Arial"/>
                <w:bCs/>
                <w:sz w:val="22"/>
                <w:szCs w:val="22"/>
              </w:rPr>
            </w:pPr>
            <w:r>
              <w:rPr>
                <w:rFonts w:ascii="Arial" w:hAnsi="Arial" w:cs="Arial"/>
                <w:bCs/>
                <w:sz w:val="22"/>
                <w:szCs w:val="22"/>
              </w:rPr>
              <w:t>(choose 1 option)</w:t>
            </w:r>
          </w:p>
          <w:p w14:paraId="0F722A76" w14:textId="6C3327D2" w:rsidR="007A6157" w:rsidRPr="007A6157" w:rsidRDefault="007A6157" w:rsidP="002E6A1B">
            <w:pPr>
              <w:rPr>
                <w:rFonts w:ascii="Arial" w:hAnsi="Arial" w:cs="Arial"/>
                <w:bCs/>
                <w:i/>
                <w:iCs/>
                <w:sz w:val="22"/>
                <w:szCs w:val="22"/>
              </w:rPr>
            </w:pPr>
            <w:r w:rsidRPr="007A6157">
              <w:rPr>
                <w:rFonts w:ascii="Arial" w:hAnsi="Arial" w:cs="Arial"/>
                <w:bCs/>
                <w:i/>
                <w:iCs/>
                <w:sz w:val="22"/>
                <w:szCs w:val="22"/>
              </w:rPr>
              <w:t>3-credit and 2-credit students</w:t>
            </w:r>
          </w:p>
        </w:tc>
        <w:tc>
          <w:tcPr>
            <w:tcW w:w="1170" w:type="dxa"/>
          </w:tcPr>
          <w:p w14:paraId="29D3A385" w14:textId="759541DB" w:rsidR="00124B6B" w:rsidRDefault="00EC009E" w:rsidP="002E6A1B">
            <w:pPr>
              <w:rPr>
                <w:rFonts w:ascii="Arial" w:hAnsi="Arial" w:cs="Arial"/>
                <w:bCs/>
                <w:sz w:val="22"/>
                <w:szCs w:val="22"/>
              </w:rPr>
            </w:pPr>
            <w:r>
              <w:rPr>
                <w:rFonts w:ascii="Arial" w:hAnsi="Arial" w:cs="Arial"/>
                <w:bCs/>
                <w:sz w:val="22"/>
                <w:szCs w:val="22"/>
              </w:rPr>
              <w:t>50 points</w:t>
            </w:r>
          </w:p>
        </w:tc>
        <w:tc>
          <w:tcPr>
            <w:tcW w:w="6025" w:type="dxa"/>
          </w:tcPr>
          <w:p w14:paraId="77E9932B" w14:textId="0404C7FB" w:rsidR="00EC009E" w:rsidRDefault="00EC009E" w:rsidP="002E6A1B">
            <w:pPr>
              <w:rPr>
                <w:rFonts w:ascii="Arial" w:hAnsi="Arial" w:cs="Arial"/>
                <w:bCs/>
                <w:sz w:val="22"/>
                <w:szCs w:val="22"/>
              </w:rPr>
            </w:pPr>
            <w:r>
              <w:rPr>
                <w:rFonts w:ascii="Arial" w:hAnsi="Arial" w:cs="Arial"/>
                <w:bCs/>
                <w:sz w:val="22"/>
                <w:szCs w:val="22"/>
              </w:rPr>
              <w:t>These projects will be ‘presented’ asynchronously as a virtua</w:t>
            </w:r>
            <w:r w:rsidR="00FC052A">
              <w:rPr>
                <w:rFonts w:ascii="Arial" w:hAnsi="Arial" w:cs="Arial"/>
                <w:bCs/>
                <w:sz w:val="22"/>
                <w:szCs w:val="22"/>
              </w:rPr>
              <w:t>l</w:t>
            </w:r>
            <w:r>
              <w:rPr>
                <w:rFonts w:ascii="Arial" w:hAnsi="Arial" w:cs="Arial"/>
                <w:bCs/>
                <w:sz w:val="22"/>
                <w:szCs w:val="22"/>
              </w:rPr>
              <w:t xml:space="preserve"> conference at the end of the semester.</w:t>
            </w:r>
          </w:p>
          <w:p w14:paraId="71E2C775" w14:textId="6BB3B67E" w:rsidR="00564133" w:rsidRPr="007A6157" w:rsidRDefault="00EC009E" w:rsidP="007A6157">
            <w:pPr>
              <w:pStyle w:val="ListParagraph"/>
              <w:numPr>
                <w:ilvl w:val="0"/>
                <w:numId w:val="9"/>
              </w:numPr>
              <w:rPr>
                <w:rFonts w:ascii="Arial" w:hAnsi="Arial" w:cs="Arial"/>
                <w:bCs/>
                <w:sz w:val="22"/>
                <w:szCs w:val="22"/>
              </w:rPr>
            </w:pPr>
            <w:r w:rsidRPr="007A6157">
              <w:rPr>
                <w:rFonts w:ascii="Arial" w:hAnsi="Arial" w:cs="Arial"/>
                <w:b/>
                <w:i/>
                <w:iCs/>
                <w:sz w:val="22"/>
                <w:szCs w:val="22"/>
              </w:rPr>
              <w:t>Option A: Process design for conflict transformation</w:t>
            </w:r>
            <w:r w:rsidRPr="007A6157">
              <w:rPr>
                <w:rFonts w:ascii="Arial" w:hAnsi="Arial" w:cs="Arial"/>
                <w:bCs/>
                <w:sz w:val="22"/>
                <w:szCs w:val="22"/>
              </w:rPr>
              <w:t xml:space="preserve"> – (recommended for those engaged in an actual community / group / organizational context). </w:t>
            </w:r>
            <w:r w:rsidR="00730B61" w:rsidRPr="007A6157">
              <w:rPr>
                <w:rFonts w:ascii="Arial" w:hAnsi="Arial" w:cs="Arial"/>
                <w:bCs/>
                <w:sz w:val="22"/>
                <w:szCs w:val="22"/>
              </w:rPr>
              <w:t>Using the provided Guidance Note template, conduct a</w:t>
            </w:r>
            <w:r w:rsidR="00385B9D">
              <w:rPr>
                <w:rFonts w:ascii="Arial" w:hAnsi="Arial" w:cs="Arial"/>
                <w:bCs/>
                <w:sz w:val="22"/>
                <w:szCs w:val="22"/>
              </w:rPr>
              <w:t xml:space="preserve"> real</w:t>
            </w:r>
            <w:r w:rsidR="00730B61" w:rsidRPr="007A6157">
              <w:rPr>
                <w:rFonts w:ascii="Arial" w:hAnsi="Arial" w:cs="Arial"/>
                <w:bCs/>
                <w:sz w:val="22"/>
                <w:szCs w:val="22"/>
              </w:rPr>
              <w:t xml:space="preserve"> assessment process</w:t>
            </w:r>
            <w:r w:rsidR="00564133" w:rsidRPr="007A6157">
              <w:rPr>
                <w:rFonts w:ascii="Arial" w:hAnsi="Arial" w:cs="Arial"/>
                <w:bCs/>
                <w:sz w:val="22"/>
                <w:szCs w:val="22"/>
              </w:rPr>
              <w:t>, articulate framing purpose and guiding questions, outline possible phases and relevant process methods.</w:t>
            </w:r>
            <w:r w:rsidR="007A6157" w:rsidRPr="007A6157">
              <w:rPr>
                <w:rFonts w:ascii="Arial" w:hAnsi="Arial" w:cs="Arial"/>
                <w:bCs/>
                <w:sz w:val="22"/>
                <w:szCs w:val="22"/>
              </w:rPr>
              <w:t xml:space="preserve"> -</w:t>
            </w:r>
            <w:r w:rsidR="00564133" w:rsidRPr="007A6157">
              <w:rPr>
                <w:rFonts w:ascii="Arial" w:hAnsi="Arial" w:cs="Arial"/>
                <w:bCs/>
                <w:sz w:val="22"/>
                <w:szCs w:val="22"/>
              </w:rPr>
              <w:t xml:space="preserve"> </w:t>
            </w:r>
            <w:r w:rsidR="007A6157" w:rsidRPr="007A6157">
              <w:rPr>
                <w:rFonts w:ascii="Arial" w:hAnsi="Arial" w:cs="Arial"/>
                <w:bCs/>
                <w:sz w:val="22"/>
                <w:szCs w:val="22"/>
              </w:rPr>
              <w:t>Prepare concept note (8-10 pages) and 10 min online presentation.</w:t>
            </w:r>
          </w:p>
          <w:p w14:paraId="3734F710" w14:textId="648BCA05" w:rsidR="00730B61" w:rsidRPr="007A6157" w:rsidRDefault="00730B61" w:rsidP="007A6157">
            <w:pPr>
              <w:pStyle w:val="ListParagraph"/>
              <w:numPr>
                <w:ilvl w:val="0"/>
                <w:numId w:val="9"/>
              </w:numPr>
              <w:rPr>
                <w:rFonts w:ascii="Arial" w:hAnsi="Arial" w:cs="Arial"/>
                <w:bCs/>
                <w:sz w:val="22"/>
                <w:szCs w:val="22"/>
              </w:rPr>
            </w:pPr>
            <w:r w:rsidRPr="007A6157">
              <w:rPr>
                <w:rFonts w:ascii="Arial" w:hAnsi="Arial" w:cs="Arial"/>
                <w:b/>
                <w:i/>
                <w:iCs/>
                <w:sz w:val="22"/>
                <w:szCs w:val="22"/>
              </w:rPr>
              <w:t xml:space="preserve">Option B: Critical issues assessment and strategy </w:t>
            </w:r>
            <w:r w:rsidR="00564133" w:rsidRPr="007A6157">
              <w:rPr>
                <w:rFonts w:ascii="Arial" w:hAnsi="Arial" w:cs="Arial"/>
                <w:b/>
                <w:i/>
                <w:iCs/>
                <w:sz w:val="22"/>
                <w:szCs w:val="22"/>
              </w:rPr>
              <w:t>–</w:t>
            </w:r>
            <w:r w:rsidRPr="007A6157">
              <w:rPr>
                <w:rFonts w:ascii="Arial" w:hAnsi="Arial" w:cs="Arial"/>
                <w:bCs/>
                <w:sz w:val="22"/>
                <w:szCs w:val="22"/>
              </w:rPr>
              <w:t xml:space="preserve"> </w:t>
            </w:r>
            <w:r w:rsidR="00564133" w:rsidRPr="007A6157">
              <w:rPr>
                <w:rFonts w:ascii="Arial" w:hAnsi="Arial" w:cs="Arial"/>
                <w:bCs/>
                <w:sz w:val="22"/>
                <w:szCs w:val="22"/>
              </w:rPr>
              <w:t>selecting a critical challenge for justice and peacebuilding, explore the ways that deliberative dialogue processes may support transformation. Draw on scholarly and practitioner literature to explore how this challenge is addressed by others (and, as relevant, in your own experience) to discuss</w:t>
            </w:r>
            <w:r w:rsidR="007A6157" w:rsidRPr="007A6157">
              <w:rPr>
                <w:rFonts w:ascii="Arial" w:hAnsi="Arial" w:cs="Arial"/>
                <w:bCs/>
                <w:sz w:val="22"/>
                <w:szCs w:val="22"/>
              </w:rPr>
              <w:t xml:space="preserve"> strategies,</w:t>
            </w:r>
            <w:r w:rsidR="00564133" w:rsidRPr="007A6157">
              <w:rPr>
                <w:rFonts w:ascii="Arial" w:hAnsi="Arial" w:cs="Arial"/>
                <w:bCs/>
                <w:sz w:val="22"/>
                <w:szCs w:val="22"/>
              </w:rPr>
              <w:t xml:space="preserve"> opportunities and risks</w:t>
            </w:r>
            <w:r w:rsidR="00EA3374" w:rsidRPr="007A6157">
              <w:rPr>
                <w:rFonts w:ascii="Arial" w:hAnsi="Arial" w:cs="Arial"/>
                <w:bCs/>
                <w:sz w:val="22"/>
                <w:szCs w:val="22"/>
              </w:rPr>
              <w:t>.</w:t>
            </w:r>
            <w:r w:rsidR="007A6157" w:rsidRPr="007A6157">
              <w:rPr>
                <w:rFonts w:ascii="Arial" w:hAnsi="Arial" w:cs="Arial"/>
                <w:bCs/>
                <w:sz w:val="22"/>
                <w:szCs w:val="22"/>
              </w:rPr>
              <w:t xml:space="preserve"> – Prepare research paper (8-10 pages) and 10 min presentation</w:t>
            </w:r>
          </w:p>
        </w:tc>
      </w:tr>
      <w:tr w:rsidR="00124B6B" w14:paraId="6ED95323" w14:textId="77777777" w:rsidTr="00EC009E">
        <w:tc>
          <w:tcPr>
            <w:tcW w:w="2875" w:type="dxa"/>
          </w:tcPr>
          <w:p w14:paraId="6FF4BF16" w14:textId="77777777" w:rsidR="00124B6B" w:rsidRDefault="00124B6B" w:rsidP="002E6A1B">
            <w:pPr>
              <w:rPr>
                <w:rFonts w:ascii="Arial" w:hAnsi="Arial" w:cs="Arial"/>
                <w:bCs/>
                <w:sz w:val="22"/>
                <w:szCs w:val="22"/>
              </w:rPr>
            </w:pPr>
          </w:p>
        </w:tc>
        <w:tc>
          <w:tcPr>
            <w:tcW w:w="1170" w:type="dxa"/>
          </w:tcPr>
          <w:p w14:paraId="1B53A17C" w14:textId="77777777" w:rsidR="00124B6B" w:rsidRDefault="00124B6B" w:rsidP="002E6A1B">
            <w:pPr>
              <w:rPr>
                <w:rFonts w:ascii="Arial" w:hAnsi="Arial" w:cs="Arial"/>
                <w:bCs/>
                <w:sz w:val="22"/>
                <w:szCs w:val="22"/>
              </w:rPr>
            </w:pPr>
          </w:p>
        </w:tc>
        <w:tc>
          <w:tcPr>
            <w:tcW w:w="6025" w:type="dxa"/>
          </w:tcPr>
          <w:p w14:paraId="7266DA80" w14:textId="77777777" w:rsidR="00124B6B" w:rsidRDefault="00124B6B" w:rsidP="002E6A1B">
            <w:pPr>
              <w:rPr>
                <w:rFonts w:ascii="Arial" w:hAnsi="Arial" w:cs="Arial"/>
                <w:bCs/>
                <w:sz w:val="22"/>
                <w:szCs w:val="22"/>
              </w:rPr>
            </w:pPr>
          </w:p>
        </w:tc>
      </w:tr>
    </w:tbl>
    <w:p w14:paraId="0C19EA19" w14:textId="0F7A6B14" w:rsidR="00124B6B" w:rsidRPr="008E64AA" w:rsidRDefault="00124B6B" w:rsidP="002E6A1B">
      <w:pPr>
        <w:rPr>
          <w:rFonts w:ascii="Arial" w:hAnsi="Arial" w:cs="Arial"/>
          <w:bCs/>
          <w:sz w:val="22"/>
          <w:szCs w:val="22"/>
        </w:rPr>
      </w:pPr>
    </w:p>
    <w:p w14:paraId="5D496508" w14:textId="5232FD0F" w:rsidR="00E57F79" w:rsidRPr="00CC5F21" w:rsidRDefault="008E64AA">
      <w:pPr>
        <w:rPr>
          <w:rFonts w:ascii="Arial" w:eastAsia="Times New Roman" w:hAnsi="Arial" w:cs="Arial"/>
          <w:i/>
          <w:color w:val="4F6228" w:themeColor="accent3" w:themeShade="80"/>
          <w:sz w:val="20"/>
          <w:szCs w:val="20"/>
        </w:rPr>
      </w:pPr>
      <w:r w:rsidRPr="00CC5F21">
        <w:rPr>
          <w:rFonts w:ascii="Arial" w:eastAsia="Times New Roman" w:hAnsi="Arial" w:cs="Arial"/>
          <w:i/>
          <w:color w:val="4F6228" w:themeColor="accent3" w:themeShade="80"/>
          <w:sz w:val="20"/>
          <w:szCs w:val="20"/>
        </w:rPr>
        <w:t>These are brief descriptions of required graded assignments for the course. More details for each assignment</w:t>
      </w:r>
      <w:r w:rsidR="002E6A1B" w:rsidRPr="00CC5F21">
        <w:rPr>
          <w:rFonts w:ascii="Arial" w:eastAsia="Times New Roman" w:hAnsi="Arial" w:cs="Arial"/>
          <w:i/>
          <w:color w:val="4F6228" w:themeColor="accent3" w:themeShade="80"/>
          <w:sz w:val="20"/>
          <w:szCs w:val="20"/>
        </w:rPr>
        <w:t xml:space="preserve"> can be found on the “Guidance Notes” that will be provided in class.</w:t>
      </w:r>
    </w:p>
    <w:p w14:paraId="05248361" w14:textId="77777777" w:rsidR="004C682B" w:rsidRDefault="004C682B">
      <w:pPr>
        <w:rPr>
          <w:rFonts w:ascii="Arial" w:hAnsi="Arial" w:cs="Arial"/>
          <w:b/>
          <w:bCs/>
          <w:color w:val="4F6228" w:themeColor="accent3" w:themeShade="80"/>
          <w:sz w:val="22"/>
          <w:szCs w:val="22"/>
        </w:rPr>
      </w:pPr>
    </w:p>
    <w:p w14:paraId="06CDB8BD" w14:textId="77777777" w:rsidR="004C682B" w:rsidRPr="000A24BA" w:rsidRDefault="004C682B">
      <w:pPr>
        <w:rPr>
          <w:rFonts w:ascii="Arial" w:hAnsi="Arial" w:cs="Arial"/>
          <w:b/>
          <w:bCs/>
          <w:color w:val="4F6228" w:themeColor="accent3" w:themeShade="80"/>
          <w:sz w:val="22"/>
          <w:szCs w:val="22"/>
        </w:rPr>
      </w:pPr>
    </w:p>
    <w:p w14:paraId="4FE3A70C" w14:textId="6173FD35" w:rsidR="00E57F79" w:rsidRDefault="002E6A1B" w:rsidP="00E57F79">
      <w:pPr>
        <w:rPr>
          <w:rFonts w:ascii="Arial" w:hAnsi="Arial" w:cs="Arial"/>
          <w:b/>
          <w:bCs/>
          <w:smallCaps/>
          <w:color w:val="4F6228" w:themeColor="accent3" w:themeShade="80"/>
        </w:rPr>
      </w:pPr>
      <w:r w:rsidRPr="00CC5F21">
        <w:rPr>
          <w:rFonts w:ascii="Arial" w:hAnsi="Arial" w:cs="Arial"/>
          <w:b/>
          <w:bCs/>
          <w:smallCaps/>
          <w:color w:val="4F6228" w:themeColor="accent3" w:themeShade="80"/>
        </w:rPr>
        <w:t>Schedule and Topics</w:t>
      </w:r>
      <w:r w:rsidR="00E57F79" w:rsidRPr="00CC5F21">
        <w:rPr>
          <w:rFonts w:ascii="Arial" w:hAnsi="Arial" w:cs="Arial"/>
          <w:b/>
          <w:bCs/>
          <w:smallCaps/>
          <w:color w:val="4F6228" w:themeColor="accent3" w:themeShade="80"/>
        </w:rPr>
        <w:t>:</w:t>
      </w:r>
    </w:p>
    <w:p w14:paraId="39C5CCE5" w14:textId="1A03D472" w:rsidR="004A00DF" w:rsidRPr="002A2B85" w:rsidRDefault="004A00DF" w:rsidP="004A00DF">
      <w:pPr>
        <w:rPr>
          <w:rFonts w:ascii="Arial" w:hAnsi="Arial" w:cs="Arial"/>
          <w:b/>
          <w:bCs/>
        </w:rPr>
      </w:pPr>
      <w:r w:rsidRPr="002A2B85">
        <w:rPr>
          <w:rFonts w:ascii="Arial" w:hAnsi="Arial" w:cs="Arial"/>
          <w:b/>
          <w:bCs/>
        </w:rPr>
        <w:t xml:space="preserve">Please note that this class is structured in a condensed format. </w:t>
      </w:r>
      <w:r w:rsidRPr="00CB603D">
        <w:rPr>
          <w:rFonts w:ascii="Arial" w:hAnsi="Arial" w:cs="Arial"/>
        </w:rPr>
        <w:t xml:space="preserve">Each of the six session comprises two regular </w:t>
      </w:r>
      <w:proofErr w:type="gramStart"/>
      <w:r w:rsidRPr="00CB603D">
        <w:rPr>
          <w:rFonts w:ascii="Arial" w:hAnsi="Arial" w:cs="Arial"/>
        </w:rPr>
        <w:t>semester</w:t>
      </w:r>
      <w:proofErr w:type="gramEnd"/>
      <w:r w:rsidRPr="00CB603D">
        <w:rPr>
          <w:rFonts w:ascii="Arial" w:hAnsi="Arial" w:cs="Arial"/>
        </w:rPr>
        <w:t xml:space="preserve"> ‘weeks’ and the amount of reading and preparation for each session is planned accordingly, with the class ‘front loaded’ </w:t>
      </w:r>
      <w:r w:rsidR="00075AED" w:rsidRPr="00CB603D">
        <w:rPr>
          <w:rFonts w:ascii="Arial" w:hAnsi="Arial" w:cs="Arial"/>
        </w:rPr>
        <w:t xml:space="preserve">with two sessions </w:t>
      </w:r>
      <w:r w:rsidRPr="00CB603D">
        <w:rPr>
          <w:rFonts w:ascii="Arial" w:hAnsi="Arial" w:cs="Arial"/>
        </w:rPr>
        <w:t xml:space="preserve">in January. </w:t>
      </w:r>
      <w:r w:rsidR="00CB603D">
        <w:rPr>
          <w:rFonts w:ascii="Arial" w:hAnsi="Arial" w:cs="Arial"/>
          <w:b/>
          <w:bCs/>
        </w:rPr>
        <w:t>Participation in each synchronous class session is necessary to successfully complete the course.</w:t>
      </w:r>
    </w:p>
    <w:p w14:paraId="6B8C58C4" w14:textId="77777777" w:rsidR="00E57F79" w:rsidRDefault="00E57F79">
      <w:pPr>
        <w:rPr>
          <w:rFonts w:ascii="Arial" w:hAnsi="Arial" w:cs="Arial"/>
          <w:bCs/>
          <w:sz w:val="22"/>
          <w:szCs w:val="22"/>
        </w:rPr>
      </w:pPr>
    </w:p>
    <w:tbl>
      <w:tblPr>
        <w:tblStyle w:val="TableGrid"/>
        <w:tblW w:w="0" w:type="auto"/>
        <w:tblLook w:val="04A0" w:firstRow="1" w:lastRow="0" w:firstColumn="1" w:lastColumn="0" w:noHBand="0" w:noVBand="1"/>
      </w:tblPr>
      <w:tblGrid>
        <w:gridCol w:w="1165"/>
        <w:gridCol w:w="8905"/>
      </w:tblGrid>
      <w:tr w:rsidR="007A2FD0" w14:paraId="74BC6365" w14:textId="77777777" w:rsidTr="007A2FD0">
        <w:tc>
          <w:tcPr>
            <w:tcW w:w="1165" w:type="dxa"/>
          </w:tcPr>
          <w:p w14:paraId="75817141" w14:textId="0EDC889B" w:rsidR="007A2FD0" w:rsidRPr="007A2FD0" w:rsidRDefault="007A2FD0" w:rsidP="007A2FD0">
            <w:pPr>
              <w:rPr>
                <w:rFonts w:ascii="Arial" w:hAnsi="Arial" w:cs="Arial"/>
                <w:sz w:val="22"/>
                <w:szCs w:val="22"/>
              </w:rPr>
            </w:pPr>
            <w:r>
              <w:rPr>
                <w:rFonts w:ascii="Arial" w:hAnsi="Arial" w:cs="Arial"/>
                <w:sz w:val="22"/>
                <w:szCs w:val="22"/>
              </w:rPr>
              <w:t>Jan 22</w:t>
            </w:r>
          </w:p>
        </w:tc>
        <w:tc>
          <w:tcPr>
            <w:tcW w:w="8905" w:type="dxa"/>
          </w:tcPr>
          <w:p w14:paraId="59877288" w14:textId="475A3331" w:rsidR="007A2FD0" w:rsidRPr="007A2FD0" w:rsidRDefault="007A2FD0" w:rsidP="007A2FD0">
            <w:pPr>
              <w:rPr>
                <w:rFonts w:ascii="Arial" w:hAnsi="Arial" w:cs="Arial"/>
                <w:b/>
                <w:bCs/>
                <w:sz w:val="22"/>
                <w:szCs w:val="22"/>
              </w:rPr>
            </w:pPr>
            <w:r w:rsidRPr="007A2FD0">
              <w:rPr>
                <w:rFonts w:ascii="Arial" w:hAnsi="Arial" w:cs="Arial"/>
                <w:b/>
                <w:bCs/>
                <w:sz w:val="22"/>
                <w:szCs w:val="22"/>
              </w:rPr>
              <w:t>Transforming conflict through whole of system dialogue</w:t>
            </w:r>
          </w:p>
          <w:p w14:paraId="7DDBA735" w14:textId="0FA9750C" w:rsidR="007A2FD0" w:rsidRPr="007A2FD0" w:rsidRDefault="007A2FD0" w:rsidP="007A2FD0">
            <w:pPr>
              <w:pStyle w:val="ListParagraph"/>
              <w:numPr>
                <w:ilvl w:val="0"/>
                <w:numId w:val="2"/>
              </w:numPr>
              <w:rPr>
                <w:rFonts w:ascii="Arial" w:hAnsi="Arial" w:cs="Arial"/>
                <w:sz w:val="22"/>
                <w:szCs w:val="22"/>
              </w:rPr>
            </w:pPr>
            <w:r w:rsidRPr="007A2FD0">
              <w:rPr>
                <w:rFonts w:ascii="Arial" w:hAnsi="Arial" w:cs="Arial"/>
                <w:sz w:val="22"/>
                <w:szCs w:val="22"/>
              </w:rPr>
              <w:t>Creating our container</w:t>
            </w:r>
          </w:p>
          <w:p w14:paraId="38457A01" w14:textId="77777777" w:rsidR="00564133" w:rsidRPr="007A2FD0" w:rsidRDefault="00564133" w:rsidP="00564133">
            <w:pPr>
              <w:pStyle w:val="ListParagraph"/>
              <w:numPr>
                <w:ilvl w:val="0"/>
                <w:numId w:val="2"/>
              </w:numPr>
              <w:rPr>
                <w:rFonts w:ascii="Arial" w:hAnsi="Arial" w:cs="Arial"/>
                <w:sz w:val="22"/>
                <w:szCs w:val="22"/>
              </w:rPr>
            </w:pPr>
            <w:r w:rsidRPr="007A2FD0">
              <w:rPr>
                <w:rFonts w:ascii="Arial" w:hAnsi="Arial" w:cs="Arial"/>
                <w:sz w:val="22"/>
                <w:szCs w:val="22"/>
              </w:rPr>
              <w:t>About dialogic processes and the dialogue, deliberation, decision-making cycle</w:t>
            </w:r>
          </w:p>
          <w:p w14:paraId="5C6638A6" w14:textId="77777777" w:rsidR="00564133" w:rsidRDefault="00564133" w:rsidP="00564133">
            <w:pPr>
              <w:pStyle w:val="ListParagraph"/>
              <w:numPr>
                <w:ilvl w:val="0"/>
                <w:numId w:val="2"/>
              </w:numPr>
              <w:rPr>
                <w:rFonts w:ascii="Arial" w:hAnsi="Arial" w:cs="Arial"/>
                <w:sz w:val="22"/>
                <w:szCs w:val="22"/>
              </w:rPr>
            </w:pPr>
            <w:r w:rsidRPr="007A2FD0">
              <w:rPr>
                <w:rFonts w:ascii="Arial" w:hAnsi="Arial" w:cs="Arial"/>
                <w:sz w:val="22"/>
                <w:szCs w:val="22"/>
              </w:rPr>
              <w:t>Underlying principles for process design</w:t>
            </w:r>
          </w:p>
          <w:p w14:paraId="21B70C76" w14:textId="61DC6EFC" w:rsidR="007A2FD0" w:rsidRPr="00564133" w:rsidRDefault="007A2FD0" w:rsidP="004519DB">
            <w:pPr>
              <w:pStyle w:val="ListParagraph"/>
              <w:numPr>
                <w:ilvl w:val="0"/>
                <w:numId w:val="2"/>
              </w:numPr>
              <w:rPr>
                <w:rFonts w:ascii="Arial" w:hAnsi="Arial" w:cs="Arial"/>
                <w:sz w:val="22"/>
                <w:szCs w:val="22"/>
              </w:rPr>
            </w:pPr>
            <w:r w:rsidRPr="00564133">
              <w:rPr>
                <w:rFonts w:ascii="Arial" w:hAnsi="Arial" w:cs="Arial"/>
                <w:sz w:val="22"/>
                <w:szCs w:val="22"/>
              </w:rPr>
              <w:t>Conflict and conflict transformation from a complexity perspective</w:t>
            </w:r>
            <w:r w:rsidR="00564133">
              <w:rPr>
                <w:rFonts w:ascii="Arial" w:hAnsi="Arial" w:cs="Arial"/>
                <w:sz w:val="22"/>
                <w:szCs w:val="22"/>
              </w:rPr>
              <w:t>:</w:t>
            </w:r>
            <w:r w:rsidR="00A053B5" w:rsidRPr="00564133">
              <w:rPr>
                <w:rFonts w:ascii="Arial" w:hAnsi="Arial" w:cs="Arial"/>
                <w:sz w:val="22"/>
                <w:szCs w:val="22"/>
              </w:rPr>
              <w:t xml:space="preserve"> exploring how dialogic processes can help to transform</w:t>
            </w:r>
            <w:r w:rsidR="00564133" w:rsidRPr="00564133">
              <w:rPr>
                <w:rFonts w:ascii="Arial" w:hAnsi="Arial" w:cs="Arial"/>
                <w:sz w:val="22"/>
                <w:szCs w:val="22"/>
              </w:rPr>
              <w:t xml:space="preserve"> </w:t>
            </w:r>
            <w:r w:rsidR="00564133">
              <w:rPr>
                <w:rFonts w:ascii="Arial" w:hAnsi="Arial" w:cs="Arial"/>
                <w:sz w:val="22"/>
                <w:szCs w:val="22"/>
              </w:rPr>
              <w:t>c</w:t>
            </w:r>
            <w:r w:rsidRPr="00564133">
              <w:rPr>
                <w:rFonts w:ascii="Arial" w:hAnsi="Arial" w:cs="Arial"/>
                <w:sz w:val="22"/>
                <w:szCs w:val="22"/>
              </w:rPr>
              <w:t xml:space="preserve">omplex adaptive systems </w:t>
            </w:r>
            <w:r w:rsidR="00564133">
              <w:rPr>
                <w:rFonts w:ascii="Arial" w:hAnsi="Arial" w:cs="Arial"/>
                <w:sz w:val="22"/>
                <w:szCs w:val="22"/>
              </w:rPr>
              <w:t>over time.</w:t>
            </w:r>
          </w:p>
          <w:p w14:paraId="38854CEA" w14:textId="7593BE8D" w:rsidR="007A2FD0" w:rsidRDefault="007A2FD0" w:rsidP="004C682B">
            <w:pPr>
              <w:pStyle w:val="ListParagraph"/>
              <w:numPr>
                <w:ilvl w:val="0"/>
                <w:numId w:val="2"/>
              </w:numPr>
              <w:rPr>
                <w:rFonts w:ascii="Arial" w:hAnsi="Arial" w:cs="Arial"/>
                <w:sz w:val="22"/>
                <w:szCs w:val="22"/>
              </w:rPr>
            </w:pPr>
            <w:r w:rsidRPr="007A2FD0">
              <w:rPr>
                <w:rFonts w:ascii="Arial" w:hAnsi="Arial" w:cs="Arial"/>
                <w:sz w:val="22"/>
                <w:szCs w:val="22"/>
              </w:rPr>
              <w:t>Uncovering mental models, underlying assumptions &amp; the power of perspective taking</w:t>
            </w:r>
            <w:r w:rsidR="00564133">
              <w:rPr>
                <w:rFonts w:ascii="Arial" w:hAnsi="Arial" w:cs="Arial"/>
                <w:sz w:val="22"/>
                <w:szCs w:val="22"/>
              </w:rPr>
              <w:t xml:space="preserve"> through group processes</w:t>
            </w:r>
          </w:p>
          <w:p w14:paraId="40021884" w14:textId="7E3F7904" w:rsidR="006F151A" w:rsidRDefault="006F151A" w:rsidP="004C682B">
            <w:pPr>
              <w:pStyle w:val="ListParagraph"/>
              <w:numPr>
                <w:ilvl w:val="0"/>
                <w:numId w:val="2"/>
              </w:numPr>
              <w:rPr>
                <w:rFonts w:ascii="Arial" w:hAnsi="Arial" w:cs="Arial"/>
                <w:sz w:val="22"/>
                <w:szCs w:val="22"/>
              </w:rPr>
            </w:pPr>
            <w:r w:rsidRPr="006F151A">
              <w:rPr>
                <w:rFonts w:ascii="Arial" w:hAnsi="Arial" w:cs="Arial"/>
                <w:i/>
                <w:iCs/>
                <w:sz w:val="22"/>
                <w:szCs w:val="22"/>
              </w:rPr>
              <w:t>Process Methodologies and principles:</w:t>
            </w:r>
            <w:r>
              <w:rPr>
                <w:rFonts w:ascii="Arial" w:hAnsi="Arial" w:cs="Arial"/>
                <w:sz w:val="22"/>
                <w:szCs w:val="22"/>
              </w:rPr>
              <w:t xml:space="preserve"> Emergent Strategies; Open Space Technology</w:t>
            </w:r>
          </w:p>
          <w:p w14:paraId="0971B99A" w14:textId="786E56DD" w:rsidR="006F151A" w:rsidRDefault="006F151A" w:rsidP="004C682B">
            <w:pPr>
              <w:pStyle w:val="ListParagraph"/>
              <w:numPr>
                <w:ilvl w:val="0"/>
                <w:numId w:val="2"/>
              </w:numPr>
              <w:rPr>
                <w:rFonts w:ascii="Arial" w:hAnsi="Arial" w:cs="Arial"/>
                <w:sz w:val="22"/>
                <w:szCs w:val="22"/>
              </w:rPr>
            </w:pPr>
            <w:r w:rsidRPr="006F151A">
              <w:rPr>
                <w:rFonts w:ascii="Arial" w:hAnsi="Arial" w:cs="Arial"/>
                <w:i/>
                <w:iCs/>
                <w:sz w:val="22"/>
                <w:szCs w:val="22"/>
              </w:rPr>
              <w:t>Case exploration:</w:t>
            </w:r>
            <w:r>
              <w:rPr>
                <w:rFonts w:ascii="Arial" w:hAnsi="Arial" w:cs="Arial"/>
                <w:sz w:val="22"/>
                <w:szCs w:val="22"/>
              </w:rPr>
              <w:t xml:space="preserve"> Greensboro Truth and Reconciliation Commission</w:t>
            </w:r>
          </w:p>
          <w:p w14:paraId="01E2CC18" w14:textId="686CFF26" w:rsidR="00385B9D" w:rsidRPr="00385B9D" w:rsidRDefault="00385B9D" w:rsidP="00385B9D">
            <w:pPr>
              <w:rPr>
                <w:rFonts w:ascii="Arial" w:hAnsi="Arial" w:cs="Arial"/>
                <w:sz w:val="22"/>
                <w:szCs w:val="22"/>
              </w:rPr>
            </w:pPr>
          </w:p>
        </w:tc>
      </w:tr>
      <w:tr w:rsidR="007A2FD0" w14:paraId="38D99FD8" w14:textId="77777777" w:rsidTr="007A2FD0">
        <w:tc>
          <w:tcPr>
            <w:tcW w:w="1165" w:type="dxa"/>
          </w:tcPr>
          <w:p w14:paraId="7A3E201D" w14:textId="08F1D040" w:rsidR="007A2FD0" w:rsidRPr="007A2FD0" w:rsidRDefault="007A2FD0" w:rsidP="007A2FD0">
            <w:pPr>
              <w:rPr>
                <w:rFonts w:ascii="Arial" w:hAnsi="Arial" w:cs="Arial"/>
                <w:sz w:val="22"/>
                <w:szCs w:val="22"/>
              </w:rPr>
            </w:pPr>
            <w:r>
              <w:rPr>
                <w:rFonts w:ascii="Arial" w:hAnsi="Arial" w:cs="Arial"/>
                <w:sz w:val="22"/>
                <w:szCs w:val="22"/>
              </w:rPr>
              <w:t>Jan 29</w:t>
            </w:r>
          </w:p>
        </w:tc>
        <w:tc>
          <w:tcPr>
            <w:tcW w:w="8905" w:type="dxa"/>
          </w:tcPr>
          <w:p w14:paraId="585034B5" w14:textId="77777777" w:rsidR="007A2FD0" w:rsidRPr="007A2FD0" w:rsidRDefault="007A2FD0" w:rsidP="007A2FD0">
            <w:pPr>
              <w:rPr>
                <w:rFonts w:ascii="Arial" w:hAnsi="Arial" w:cs="Arial"/>
                <w:b/>
                <w:bCs/>
                <w:sz w:val="22"/>
                <w:szCs w:val="22"/>
              </w:rPr>
            </w:pPr>
            <w:r w:rsidRPr="007A2FD0">
              <w:rPr>
                <w:rFonts w:ascii="Arial" w:hAnsi="Arial" w:cs="Arial"/>
                <w:b/>
                <w:bCs/>
                <w:sz w:val="22"/>
                <w:szCs w:val="22"/>
              </w:rPr>
              <w:t>Getting started: exploratory conversations, creating foundations and co-design (+ when NOT to dialogue)</w:t>
            </w:r>
          </w:p>
          <w:p w14:paraId="1BEBC794" w14:textId="77777777" w:rsidR="007A2FD0" w:rsidRPr="007A2FD0" w:rsidRDefault="007A2FD0" w:rsidP="007A2FD0">
            <w:pPr>
              <w:pStyle w:val="ListParagraph"/>
              <w:numPr>
                <w:ilvl w:val="0"/>
                <w:numId w:val="3"/>
              </w:numPr>
              <w:rPr>
                <w:rFonts w:ascii="Arial" w:hAnsi="Arial" w:cs="Arial"/>
                <w:sz w:val="22"/>
                <w:szCs w:val="22"/>
              </w:rPr>
            </w:pPr>
            <w:r w:rsidRPr="007A2FD0">
              <w:rPr>
                <w:rFonts w:ascii="Arial" w:hAnsi="Arial" w:cs="Arial"/>
                <w:sz w:val="22"/>
                <w:szCs w:val="22"/>
              </w:rPr>
              <w:t>Getting started: engaging others and embracing the spirit of inquiry.</w:t>
            </w:r>
          </w:p>
          <w:p w14:paraId="3F543648" w14:textId="77777777" w:rsidR="007A2FD0" w:rsidRPr="007A2FD0" w:rsidRDefault="007A2FD0" w:rsidP="007A2FD0">
            <w:pPr>
              <w:pStyle w:val="ListParagraph"/>
              <w:numPr>
                <w:ilvl w:val="0"/>
                <w:numId w:val="3"/>
              </w:numPr>
              <w:rPr>
                <w:rFonts w:ascii="Arial" w:hAnsi="Arial" w:cs="Arial"/>
                <w:sz w:val="22"/>
                <w:szCs w:val="22"/>
              </w:rPr>
            </w:pPr>
            <w:r w:rsidRPr="007A2FD0">
              <w:rPr>
                <w:rFonts w:ascii="Arial" w:hAnsi="Arial" w:cs="Arial"/>
                <w:sz w:val="22"/>
                <w:szCs w:val="22"/>
              </w:rPr>
              <w:t>Mapping the system; understanding your 'positionality' within it</w:t>
            </w:r>
          </w:p>
          <w:p w14:paraId="1CB346DE" w14:textId="77777777" w:rsidR="007A2FD0" w:rsidRPr="007A2FD0" w:rsidRDefault="007A2FD0" w:rsidP="007A2FD0">
            <w:pPr>
              <w:pStyle w:val="ListParagraph"/>
              <w:numPr>
                <w:ilvl w:val="0"/>
                <w:numId w:val="3"/>
              </w:numPr>
              <w:rPr>
                <w:rFonts w:ascii="Arial" w:hAnsi="Arial" w:cs="Arial"/>
                <w:sz w:val="22"/>
                <w:szCs w:val="22"/>
              </w:rPr>
            </w:pPr>
            <w:r w:rsidRPr="007A2FD0">
              <w:rPr>
                <w:rFonts w:ascii="Arial" w:hAnsi="Arial" w:cs="Arial"/>
                <w:sz w:val="22"/>
                <w:szCs w:val="22"/>
              </w:rPr>
              <w:t>Process design elements and choices</w:t>
            </w:r>
          </w:p>
          <w:p w14:paraId="24B27CE8" w14:textId="77777777" w:rsidR="007A2FD0" w:rsidRPr="007A2FD0" w:rsidRDefault="007A2FD0" w:rsidP="007A2FD0">
            <w:pPr>
              <w:pStyle w:val="ListParagraph"/>
              <w:numPr>
                <w:ilvl w:val="0"/>
                <w:numId w:val="3"/>
              </w:numPr>
              <w:rPr>
                <w:rFonts w:ascii="Arial" w:hAnsi="Arial" w:cs="Arial"/>
                <w:sz w:val="22"/>
                <w:szCs w:val="22"/>
              </w:rPr>
            </w:pPr>
            <w:r w:rsidRPr="007A2FD0">
              <w:rPr>
                <w:rFonts w:ascii="Arial" w:hAnsi="Arial" w:cs="Arial"/>
                <w:sz w:val="22"/>
                <w:szCs w:val="22"/>
              </w:rPr>
              <w:t>Context assessment, conflict analysis and tracking deliberative dialogue process design along the 'progression of social conflict' model</w:t>
            </w:r>
          </w:p>
          <w:p w14:paraId="6E6E83FB" w14:textId="609AA179" w:rsidR="007A2FD0" w:rsidRPr="007A2FD0" w:rsidRDefault="007A2FD0" w:rsidP="007A2FD0">
            <w:pPr>
              <w:pStyle w:val="ListParagraph"/>
              <w:numPr>
                <w:ilvl w:val="0"/>
                <w:numId w:val="3"/>
              </w:numPr>
              <w:rPr>
                <w:rFonts w:ascii="Arial" w:hAnsi="Arial" w:cs="Arial"/>
                <w:sz w:val="22"/>
                <w:szCs w:val="22"/>
              </w:rPr>
            </w:pPr>
            <w:r w:rsidRPr="007A2FD0">
              <w:rPr>
                <w:rFonts w:ascii="Arial" w:hAnsi="Arial" w:cs="Arial"/>
                <w:sz w:val="22"/>
                <w:szCs w:val="22"/>
              </w:rPr>
              <w:t xml:space="preserve">Power dynamics, justice, ownership </w:t>
            </w:r>
          </w:p>
          <w:p w14:paraId="637C0B75" w14:textId="06FB5AA8" w:rsidR="007A2FD0" w:rsidRDefault="00564133" w:rsidP="007A2FD0">
            <w:pPr>
              <w:pStyle w:val="ListParagraph"/>
              <w:numPr>
                <w:ilvl w:val="0"/>
                <w:numId w:val="3"/>
              </w:numPr>
              <w:rPr>
                <w:rFonts w:ascii="Arial" w:hAnsi="Arial" w:cs="Arial"/>
                <w:sz w:val="22"/>
                <w:szCs w:val="22"/>
              </w:rPr>
            </w:pPr>
            <w:r>
              <w:rPr>
                <w:rFonts w:ascii="Arial" w:hAnsi="Arial" w:cs="Arial"/>
                <w:sz w:val="22"/>
                <w:szCs w:val="22"/>
              </w:rPr>
              <w:t>W</w:t>
            </w:r>
            <w:r w:rsidR="007A2FD0" w:rsidRPr="007A2FD0">
              <w:rPr>
                <w:rFonts w:ascii="Arial" w:hAnsi="Arial" w:cs="Arial"/>
                <w:sz w:val="22"/>
                <w:szCs w:val="22"/>
              </w:rPr>
              <w:t>hen not to engage in dialogue -- and how to prepare for more just and equitable dialogue</w:t>
            </w:r>
          </w:p>
          <w:p w14:paraId="5122881D" w14:textId="04918DF6" w:rsidR="007A2FD0" w:rsidRDefault="00564133" w:rsidP="007A2FD0">
            <w:pPr>
              <w:pStyle w:val="ListParagraph"/>
              <w:numPr>
                <w:ilvl w:val="0"/>
                <w:numId w:val="3"/>
              </w:numPr>
              <w:rPr>
                <w:rFonts w:ascii="Arial" w:hAnsi="Arial" w:cs="Arial"/>
                <w:sz w:val="22"/>
                <w:szCs w:val="22"/>
              </w:rPr>
            </w:pPr>
            <w:r>
              <w:rPr>
                <w:rFonts w:ascii="Arial" w:hAnsi="Arial" w:cs="Arial"/>
                <w:sz w:val="22"/>
                <w:szCs w:val="22"/>
              </w:rPr>
              <w:t>On developing ethical practice: values, dilemmas and principles</w:t>
            </w:r>
          </w:p>
          <w:p w14:paraId="5EFFD262" w14:textId="3940667C" w:rsidR="006F151A" w:rsidRDefault="006F151A" w:rsidP="007A2FD0">
            <w:pPr>
              <w:pStyle w:val="ListParagraph"/>
              <w:numPr>
                <w:ilvl w:val="0"/>
                <w:numId w:val="3"/>
              </w:numPr>
              <w:rPr>
                <w:rFonts w:ascii="Arial" w:hAnsi="Arial" w:cs="Arial"/>
                <w:sz w:val="22"/>
                <w:szCs w:val="22"/>
              </w:rPr>
            </w:pPr>
            <w:r w:rsidRPr="006F151A">
              <w:rPr>
                <w:rFonts w:ascii="Arial" w:hAnsi="Arial" w:cs="Arial"/>
                <w:i/>
                <w:iCs/>
                <w:sz w:val="22"/>
                <w:szCs w:val="22"/>
              </w:rPr>
              <w:t>Process Methodologies and principles:</w:t>
            </w:r>
            <w:r>
              <w:rPr>
                <w:rFonts w:ascii="Arial" w:hAnsi="Arial" w:cs="Arial"/>
                <w:sz w:val="22"/>
                <w:szCs w:val="22"/>
              </w:rPr>
              <w:t xml:space="preserve"> Narrative Practice</w:t>
            </w:r>
            <w:r w:rsidR="009A68A8">
              <w:rPr>
                <w:rFonts w:ascii="Arial" w:hAnsi="Arial" w:cs="Arial"/>
                <w:sz w:val="22"/>
                <w:szCs w:val="22"/>
              </w:rPr>
              <w:t>, Part 1</w:t>
            </w:r>
            <w:r>
              <w:rPr>
                <w:rFonts w:ascii="Arial" w:hAnsi="Arial" w:cs="Arial"/>
                <w:sz w:val="22"/>
                <w:szCs w:val="22"/>
              </w:rPr>
              <w:t>; Appreciative Inquiry</w:t>
            </w:r>
          </w:p>
          <w:p w14:paraId="7CDEC7DF" w14:textId="7FBED8C8" w:rsidR="006F151A" w:rsidRDefault="006F151A" w:rsidP="007A2FD0">
            <w:pPr>
              <w:pStyle w:val="ListParagraph"/>
              <w:numPr>
                <w:ilvl w:val="0"/>
                <w:numId w:val="3"/>
              </w:numPr>
              <w:rPr>
                <w:rFonts w:ascii="Arial" w:hAnsi="Arial" w:cs="Arial"/>
                <w:sz w:val="22"/>
                <w:szCs w:val="22"/>
              </w:rPr>
            </w:pPr>
            <w:r w:rsidRPr="006F151A">
              <w:rPr>
                <w:rFonts w:ascii="Arial" w:hAnsi="Arial" w:cs="Arial"/>
                <w:i/>
                <w:iCs/>
                <w:sz w:val="22"/>
                <w:szCs w:val="22"/>
              </w:rPr>
              <w:t>Case exploration:</w:t>
            </w:r>
            <w:r>
              <w:rPr>
                <w:rFonts w:ascii="Arial" w:hAnsi="Arial" w:cs="Arial"/>
                <w:sz w:val="22"/>
                <w:szCs w:val="22"/>
              </w:rPr>
              <w:t xml:space="preserve"> dialogue processes for Palestinians and Israelis</w:t>
            </w:r>
          </w:p>
          <w:p w14:paraId="3C62E435" w14:textId="5E7F3509" w:rsidR="00385B9D" w:rsidRPr="00385B9D" w:rsidRDefault="00385B9D" w:rsidP="00385B9D">
            <w:pPr>
              <w:rPr>
                <w:rFonts w:ascii="Arial" w:hAnsi="Arial" w:cs="Arial"/>
                <w:sz w:val="22"/>
                <w:szCs w:val="22"/>
              </w:rPr>
            </w:pPr>
          </w:p>
        </w:tc>
      </w:tr>
      <w:tr w:rsidR="007A2FD0" w14:paraId="587B3918" w14:textId="77777777" w:rsidTr="007A2FD0">
        <w:tc>
          <w:tcPr>
            <w:tcW w:w="1165" w:type="dxa"/>
          </w:tcPr>
          <w:p w14:paraId="0FD5EC1A" w14:textId="7AEB19A6" w:rsidR="007A2FD0" w:rsidRPr="007A2FD0" w:rsidRDefault="007A2FD0" w:rsidP="007A2FD0">
            <w:pPr>
              <w:rPr>
                <w:rFonts w:ascii="Arial" w:hAnsi="Arial" w:cs="Arial"/>
                <w:sz w:val="22"/>
                <w:szCs w:val="22"/>
              </w:rPr>
            </w:pPr>
            <w:r>
              <w:rPr>
                <w:rFonts w:ascii="Arial" w:hAnsi="Arial" w:cs="Arial"/>
                <w:sz w:val="22"/>
                <w:szCs w:val="22"/>
              </w:rPr>
              <w:t>Feb 12</w:t>
            </w:r>
          </w:p>
        </w:tc>
        <w:tc>
          <w:tcPr>
            <w:tcW w:w="8905" w:type="dxa"/>
          </w:tcPr>
          <w:p w14:paraId="50EE0A99" w14:textId="77777777" w:rsidR="007A2FD0" w:rsidRPr="007A2FD0" w:rsidRDefault="007A2FD0" w:rsidP="007A2FD0">
            <w:pPr>
              <w:rPr>
                <w:rFonts w:ascii="Arial" w:hAnsi="Arial" w:cs="Arial"/>
                <w:b/>
                <w:bCs/>
                <w:sz w:val="22"/>
                <w:szCs w:val="22"/>
              </w:rPr>
            </w:pPr>
            <w:r w:rsidRPr="007A2FD0">
              <w:rPr>
                <w:rFonts w:ascii="Arial" w:hAnsi="Arial" w:cs="Arial"/>
                <w:b/>
                <w:bCs/>
                <w:sz w:val="22"/>
                <w:szCs w:val="22"/>
              </w:rPr>
              <w:t>Dialogue: shifting and changing through engaging together</w:t>
            </w:r>
          </w:p>
          <w:p w14:paraId="500F52C8" w14:textId="74AC9953" w:rsidR="007A2FD0" w:rsidRPr="007A2FD0" w:rsidRDefault="007A2FD0" w:rsidP="007A2FD0">
            <w:pPr>
              <w:pStyle w:val="ListParagraph"/>
              <w:numPr>
                <w:ilvl w:val="0"/>
                <w:numId w:val="4"/>
              </w:numPr>
              <w:rPr>
                <w:rFonts w:ascii="Arial" w:hAnsi="Arial" w:cs="Arial"/>
                <w:sz w:val="22"/>
                <w:szCs w:val="22"/>
              </w:rPr>
            </w:pPr>
            <w:r w:rsidRPr="007A2FD0">
              <w:rPr>
                <w:rFonts w:ascii="Arial" w:hAnsi="Arial" w:cs="Arial"/>
                <w:sz w:val="22"/>
                <w:szCs w:val="22"/>
              </w:rPr>
              <w:t>What is dialogue</w:t>
            </w:r>
            <w:r w:rsidR="00BB0C9B">
              <w:rPr>
                <w:rFonts w:ascii="Arial" w:hAnsi="Arial" w:cs="Arial"/>
                <w:sz w:val="22"/>
                <w:szCs w:val="22"/>
              </w:rPr>
              <w:t xml:space="preserve"> and how can it enable transformative change processes?</w:t>
            </w:r>
          </w:p>
          <w:p w14:paraId="76E7AA94" w14:textId="1C8302CF" w:rsidR="007A2FD0" w:rsidRDefault="007A2FD0" w:rsidP="007A2FD0">
            <w:pPr>
              <w:pStyle w:val="ListParagraph"/>
              <w:numPr>
                <w:ilvl w:val="0"/>
                <w:numId w:val="4"/>
              </w:numPr>
              <w:rPr>
                <w:rFonts w:ascii="Arial" w:hAnsi="Arial" w:cs="Arial"/>
                <w:sz w:val="22"/>
                <w:szCs w:val="22"/>
              </w:rPr>
            </w:pPr>
            <w:r w:rsidRPr="007A2FD0">
              <w:rPr>
                <w:rFonts w:ascii="Arial" w:hAnsi="Arial" w:cs="Arial"/>
                <w:sz w:val="22"/>
                <w:szCs w:val="22"/>
              </w:rPr>
              <w:t>Creating the potential for a new kind of politics through transversal dialogue</w:t>
            </w:r>
          </w:p>
          <w:p w14:paraId="690F8A33" w14:textId="61CDC1EE" w:rsidR="00BB0C9B" w:rsidRPr="007A2FD0" w:rsidRDefault="00BB0C9B" w:rsidP="007A2FD0">
            <w:pPr>
              <w:pStyle w:val="ListParagraph"/>
              <w:numPr>
                <w:ilvl w:val="0"/>
                <w:numId w:val="4"/>
              </w:numPr>
              <w:rPr>
                <w:rFonts w:ascii="Arial" w:hAnsi="Arial" w:cs="Arial"/>
                <w:sz w:val="22"/>
                <w:szCs w:val="22"/>
              </w:rPr>
            </w:pPr>
            <w:r>
              <w:rPr>
                <w:rFonts w:ascii="Arial" w:hAnsi="Arial" w:cs="Arial"/>
                <w:sz w:val="22"/>
                <w:szCs w:val="22"/>
              </w:rPr>
              <w:t>Design principles for fostering deep dialogue processes.</w:t>
            </w:r>
          </w:p>
          <w:p w14:paraId="3087ED7F" w14:textId="77777777" w:rsidR="007A2FD0" w:rsidRPr="007A2FD0" w:rsidRDefault="007A2FD0" w:rsidP="007A2FD0">
            <w:pPr>
              <w:pStyle w:val="ListParagraph"/>
              <w:numPr>
                <w:ilvl w:val="0"/>
                <w:numId w:val="4"/>
              </w:numPr>
              <w:rPr>
                <w:rFonts w:ascii="Arial" w:hAnsi="Arial" w:cs="Arial"/>
                <w:sz w:val="22"/>
                <w:szCs w:val="22"/>
              </w:rPr>
            </w:pPr>
            <w:r w:rsidRPr="007A2FD0">
              <w:rPr>
                <w:rFonts w:ascii="Arial" w:hAnsi="Arial" w:cs="Arial"/>
                <w:sz w:val="22"/>
                <w:szCs w:val="22"/>
              </w:rPr>
              <w:t>Framing the process; spirit of invitation; crafting questions</w:t>
            </w:r>
          </w:p>
          <w:p w14:paraId="69AEF32E" w14:textId="6FE7DF9C" w:rsidR="007A2FD0" w:rsidRPr="007A2FD0" w:rsidRDefault="007A2FD0" w:rsidP="007A2FD0">
            <w:pPr>
              <w:pStyle w:val="ListParagraph"/>
              <w:numPr>
                <w:ilvl w:val="0"/>
                <w:numId w:val="4"/>
              </w:numPr>
              <w:rPr>
                <w:rFonts w:ascii="Arial" w:hAnsi="Arial" w:cs="Arial"/>
                <w:sz w:val="22"/>
                <w:szCs w:val="22"/>
              </w:rPr>
            </w:pPr>
            <w:r w:rsidRPr="007A2FD0">
              <w:rPr>
                <w:rFonts w:ascii="Arial" w:hAnsi="Arial" w:cs="Arial"/>
                <w:sz w:val="22"/>
                <w:szCs w:val="22"/>
              </w:rPr>
              <w:t>Creating the 'container' to hold the group and enable alchemy</w:t>
            </w:r>
          </w:p>
          <w:p w14:paraId="704CE337" w14:textId="6C238538" w:rsidR="007A2FD0" w:rsidRDefault="007A2FD0" w:rsidP="007A2FD0">
            <w:pPr>
              <w:pStyle w:val="ListParagraph"/>
              <w:numPr>
                <w:ilvl w:val="0"/>
                <w:numId w:val="4"/>
              </w:numPr>
              <w:rPr>
                <w:rFonts w:ascii="Arial" w:hAnsi="Arial" w:cs="Arial"/>
                <w:sz w:val="22"/>
                <w:szCs w:val="22"/>
              </w:rPr>
            </w:pPr>
            <w:r w:rsidRPr="007A2FD0">
              <w:rPr>
                <w:rFonts w:ascii="Arial" w:hAnsi="Arial" w:cs="Arial"/>
                <w:sz w:val="22"/>
                <w:szCs w:val="22"/>
              </w:rPr>
              <w:t>Storytelling, narrative practice and the emergence of co-sensing</w:t>
            </w:r>
          </w:p>
          <w:p w14:paraId="76F1B22B" w14:textId="71400CA9" w:rsidR="007A2FD0" w:rsidRDefault="00564133" w:rsidP="007A2FD0">
            <w:pPr>
              <w:pStyle w:val="ListParagraph"/>
              <w:numPr>
                <w:ilvl w:val="0"/>
                <w:numId w:val="4"/>
              </w:numPr>
              <w:rPr>
                <w:rFonts w:ascii="Arial" w:hAnsi="Arial" w:cs="Arial"/>
                <w:sz w:val="22"/>
                <w:szCs w:val="22"/>
              </w:rPr>
            </w:pPr>
            <w:r w:rsidRPr="00564133">
              <w:rPr>
                <w:rFonts w:ascii="Arial" w:hAnsi="Arial" w:cs="Arial"/>
                <w:sz w:val="22"/>
                <w:szCs w:val="22"/>
              </w:rPr>
              <w:t>Understanding polarities and polarity management processes</w:t>
            </w:r>
          </w:p>
          <w:p w14:paraId="413291A0" w14:textId="335173EF" w:rsidR="002B3350" w:rsidRDefault="002B3350" w:rsidP="007A2FD0">
            <w:pPr>
              <w:pStyle w:val="ListParagraph"/>
              <w:numPr>
                <w:ilvl w:val="0"/>
                <w:numId w:val="4"/>
              </w:numPr>
              <w:rPr>
                <w:rFonts w:ascii="Arial" w:hAnsi="Arial" w:cs="Arial"/>
                <w:sz w:val="22"/>
                <w:szCs w:val="22"/>
              </w:rPr>
            </w:pPr>
            <w:r w:rsidRPr="002B3350">
              <w:rPr>
                <w:rFonts w:ascii="Arial" w:hAnsi="Arial" w:cs="Arial"/>
                <w:i/>
                <w:iCs/>
                <w:sz w:val="22"/>
                <w:szCs w:val="22"/>
              </w:rPr>
              <w:t>Process methodologies:</w:t>
            </w:r>
            <w:r>
              <w:rPr>
                <w:rFonts w:ascii="Arial" w:hAnsi="Arial" w:cs="Arial"/>
                <w:sz w:val="22"/>
                <w:szCs w:val="22"/>
              </w:rPr>
              <w:t xml:space="preserve"> </w:t>
            </w:r>
            <w:r w:rsidR="002A2B85">
              <w:rPr>
                <w:rFonts w:ascii="Arial" w:hAnsi="Arial" w:cs="Arial"/>
                <w:sz w:val="22"/>
                <w:szCs w:val="22"/>
              </w:rPr>
              <w:t xml:space="preserve">Narrative Practice Part 2; </w:t>
            </w:r>
            <w:r>
              <w:rPr>
                <w:rFonts w:ascii="Arial" w:hAnsi="Arial" w:cs="Arial"/>
                <w:sz w:val="22"/>
                <w:szCs w:val="22"/>
              </w:rPr>
              <w:t>Courageous Conversations; Public Conversations Project / Essential Partners; Polarity Management</w:t>
            </w:r>
          </w:p>
          <w:p w14:paraId="67026359" w14:textId="3EF12E2C" w:rsidR="002B3350" w:rsidRPr="00FE34D5" w:rsidRDefault="002B3350" w:rsidP="00FE34D5">
            <w:pPr>
              <w:pStyle w:val="ListParagraph"/>
              <w:numPr>
                <w:ilvl w:val="0"/>
                <w:numId w:val="4"/>
              </w:numPr>
              <w:rPr>
                <w:rFonts w:ascii="Arial" w:hAnsi="Arial" w:cs="Arial"/>
                <w:sz w:val="22"/>
                <w:szCs w:val="22"/>
              </w:rPr>
            </w:pPr>
            <w:r w:rsidRPr="002B3350">
              <w:rPr>
                <w:rFonts w:ascii="Arial" w:hAnsi="Arial" w:cs="Arial"/>
                <w:i/>
                <w:iCs/>
                <w:sz w:val="22"/>
                <w:szCs w:val="22"/>
              </w:rPr>
              <w:t>Case exploration:</w:t>
            </w:r>
            <w:r>
              <w:rPr>
                <w:rFonts w:ascii="Arial" w:hAnsi="Arial" w:cs="Arial"/>
                <w:sz w:val="22"/>
                <w:szCs w:val="22"/>
              </w:rPr>
              <w:t xml:space="preserve"> dialogue over abortion; transversal dialogue and the Northern Ireland Women’s Coalition</w:t>
            </w:r>
          </w:p>
          <w:p w14:paraId="1CCF51A0" w14:textId="17B78839" w:rsidR="00385B9D" w:rsidRPr="00385B9D" w:rsidRDefault="00385B9D" w:rsidP="00385B9D">
            <w:pPr>
              <w:rPr>
                <w:rFonts w:ascii="Arial" w:hAnsi="Arial" w:cs="Arial"/>
                <w:sz w:val="22"/>
                <w:szCs w:val="22"/>
              </w:rPr>
            </w:pPr>
          </w:p>
        </w:tc>
      </w:tr>
      <w:tr w:rsidR="007A2FD0" w14:paraId="209E9323" w14:textId="77777777" w:rsidTr="007A2FD0">
        <w:tc>
          <w:tcPr>
            <w:tcW w:w="1165" w:type="dxa"/>
          </w:tcPr>
          <w:p w14:paraId="0A4A42FC" w14:textId="2C58B4EB" w:rsidR="007A2FD0" w:rsidRPr="007A2FD0" w:rsidRDefault="007A2FD0" w:rsidP="007A2FD0">
            <w:pPr>
              <w:rPr>
                <w:rFonts w:ascii="Arial" w:hAnsi="Arial" w:cs="Arial"/>
                <w:sz w:val="22"/>
                <w:szCs w:val="22"/>
              </w:rPr>
            </w:pPr>
            <w:r>
              <w:rPr>
                <w:rFonts w:ascii="Arial" w:hAnsi="Arial" w:cs="Arial"/>
                <w:sz w:val="22"/>
                <w:szCs w:val="22"/>
              </w:rPr>
              <w:lastRenderedPageBreak/>
              <w:t>Mar 5</w:t>
            </w:r>
          </w:p>
        </w:tc>
        <w:tc>
          <w:tcPr>
            <w:tcW w:w="8905" w:type="dxa"/>
          </w:tcPr>
          <w:p w14:paraId="0099E4E5" w14:textId="35E19F45" w:rsidR="007A2FD0" w:rsidRPr="007A2FD0" w:rsidRDefault="007A2FD0" w:rsidP="007A2FD0">
            <w:pPr>
              <w:rPr>
                <w:rFonts w:ascii="Arial" w:hAnsi="Arial" w:cs="Arial"/>
                <w:b/>
                <w:bCs/>
                <w:sz w:val="22"/>
                <w:szCs w:val="22"/>
              </w:rPr>
            </w:pPr>
            <w:r w:rsidRPr="007A2FD0">
              <w:rPr>
                <w:rFonts w:ascii="Arial" w:hAnsi="Arial" w:cs="Arial"/>
                <w:b/>
                <w:bCs/>
                <w:sz w:val="22"/>
                <w:szCs w:val="22"/>
              </w:rPr>
              <w:t>Deliberation: doing our best thinking together</w:t>
            </w:r>
          </w:p>
          <w:p w14:paraId="38897807" w14:textId="2D2321CC" w:rsidR="007A2FD0" w:rsidRPr="007A2FD0" w:rsidRDefault="000852EE" w:rsidP="007A2FD0">
            <w:pPr>
              <w:pStyle w:val="ListParagraph"/>
              <w:numPr>
                <w:ilvl w:val="0"/>
                <w:numId w:val="5"/>
              </w:numPr>
              <w:rPr>
                <w:rFonts w:ascii="Arial" w:hAnsi="Arial" w:cs="Arial"/>
                <w:sz w:val="22"/>
                <w:szCs w:val="22"/>
              </w:rPr>
            </w:pPr>
            <w:r>
              <w:rPr>
                <w:rFonts w:ascii="Arial" w:hAnsi="Arial" w:cs="Arial"/>
                <w:sz w:val="22"/>
                <w:szCs w:val="22"/>
              </w:rPr>
              <w:t>“</w:t>
            </w:r>
            <w:r w:rsidR="007A2FD0" w:rsidRPr="007A2FD0">
              <w:rPr>
                <w:rFonts w:ascii="Arial" w:hAnsi="Arial" w:cs="Arial"/>
                <w:sz w:val="22"/>
                <w:szCs w:val="22"/>
              </w:rPr>
              <w:t>The thinking that created the situation won't be the thinking that changes it" - principles and methods for diverging before emerging and converging</w:t>
            </w:r>
          </w:p>
          <w:p w14:paraId="0CCE6D3A" w14:textId="3B4C41B8" w:rsidR="007A2FD0" w:rsidRPr="007A2FD0" w:rsidRDefault="007A2FD0" w:rsidP="007A2FD0">
            <w:pPr>
              <w:pStyle w:val="ListParagraph"/>
              <w:numPr>
                <w:ilvl w:val="0"/>
                <w:numId w:val="5"/>
              </w:numPr>
              <w:rPr>
                <w:rFonts w:ascii="Arial" w:hAnsi="Arial" w:cs="Arial"/>
                <w:sz w:val="22"/>
                <w:szCs w:val="22"/>
              </w:rPr>
            </w:pPr>
            <w:r w:rsidRPr="007A2FD0">
              <w:rPr>
                <w:rFonts w:ascii="Arial" w:hAnsi="Arial" w:cs="Arial"/>
                <w:sz w:val="22"/>
                <w:szCs w:val="22"/>
              </w:rPr>
              <w:t>Methods for opening</w:t>
            </w:r>
            <w:r>
              <w:rPr>
                <w:rFonts w:ascii="Arial" w:hAnsi="Arial" w:cs="Arial"/>
                <w:sz w:val="22"/>
                <w:szCs w:val="22"/>
              </w:rPr>
              <w:t>-</w:t>
            </w:r>
            <w:r w:rsidRPr="007A2FD0">
              <w:rPr>
                <w:rFonts w:ascii="Arial" w:hAnsi="Arial" w:cs="Arial"/>
                <w:sz w:val="22"/>
                <w:szCs w:val="22"/>
              </w:rPr>
              <w:t>up generative thinking and creativity</w:t>
            </w:r>
          </w:p>
          <w:p w14:paraId="4DBC8A2D" w14:textId="61AA28F8" w:rsidR="007A2FD0" w:rsidRDefault="007A2FD0" w:rsidP="007A2FD0">
            <w:pPr>
              <w:pStyle w:val="ListParagraph"/>
              <w:numPr>
                <w:ilvl w:val="0"/>
                <w:numId w:val="5"/>
              </w:numPr>
              <w:rPr>
                <w:rFonts w:ascii="Arial" w:hAnsi="Arial" w:cs="Arial"/>
                <w:sz w:val="22"/>
                <w:szCs w:val="22"/>
              </w:rPr>
            </w:pPr>
            <w:r>
              <w:rPr>
                <w:rFonts w:ascii="Arial" w:hAnsi="Arial" w:cs="Arial"/>
                <w:sz w:val="22"/>
                <w:szCs w:val="22"/>
              </w:rPr>
              <w:t>Methods and practices for s</w:t>
            </w:r>
            <w:r w:rsidRPr="007A2FD0">
              <w:rPr>
                <w:rFonts w:ascii="Arial" w:hAnsi="Arial" w:cs="Arial"/>
                <w:sz w:val="22"/>
                <w:szCs w:val="22"/>
              </w:rPr>
              <w:t>caling</w:t>
            </w:r>
            <w:r>
              <w:rPr>
                <w:rFonts w:ascii="Arial" w:hAnsi="Arial" w:cs="Arial"/>
                <w:sz w:val="22"/>
                <w:szCs w:val="22"/>
              </w:rPr>
              <w:t>-</w:t>
            </w:r>
            <w:r w:rsidRPr="007A2FD0">
              <w:rPr>
                <w:rFonts w:ascii="Arial" w:hAnsi="Arial" w:cs="Arial"/>
                <w:sz w:val="22"/>
                <w:szCs w:val="22"/>
              </w:rPr>
              <w:t>up</w:t>
            </w:r>
          </w:p>
          <w:p w14:paraId="57F2918D" w14:textId="119FC4DF" w:rsidR="002B3350" w:rsidRDefault="002B3350" w:rsidP="007A2FD0">
            <w:pPr>
              <w:pStyle w:val="ListParagraph"/>
              <w:numPr>
                <w:ilvl w:val="0"/>
                <w:numId w:val="5"/>
              </w:numPr>
              <w:rPr>
                <w:rFonts w:ascii="Arial" w:hAnsi="Arial" w:cs="Arial"/>
                <w:sz w:val="22"/>
                <w:szCs w:val="22"/>
              </w:rPr>
            </w:pPr>
            <w:r w:rsidRPr="00FE34D5">
              <w:rPr>
                <w:rFonts w:ascii="Arial" w:hAnsi="Arial" w:cs="Arial"/>
                <w:i/>
                <w:iCs/>
                <w:sz w:val="22"/>
                <w:szCs w:val="22"/>
              </w:rPr>
              <w:t>Process methodologies:</w:t>
            </w:r>
            <w:r>
              <w:rPr>
                <w:rFonts w:ascii="Arial" w:hAnsi="Arial" w:cs="Arial"/>
                <w:sz w:val="22"/>
                <w:szCs w:val="22"/>
              </w:rPr>
              <w:t xml:space="preserve"> World Café; America Speaks</w:t>
            </w:r>
          </w:p>
          <w:p w14:paraId="39505F27" w14:textId="47D07966" w:rsidR="002B3350" w:rsidRDefault="002B3350" w:rsidP="007A2FD0">
            <w:pPr>
              <w:pStyle w:val="ListParagraph"/>
              <w:numPr>
                <w:ilvl w:val="0"/>
                <w:numId w:val="5"/>
              </w:numPr>
              <w:rPr>
                <w:rFonts w:ascii="Arial" w:hAnsi="Arial" w:cs="Arial"/>
                <w:sz w:val="22"/>
                <w:szCs w:val="22"/>
              </w:rPr>
            </w:pPr>
            <w:r w:rsidRPr="00FE34D5">
              <w:rPr>
                <w:rFonts w:ascii="Arial" w:hAnsi="Arial" w:cs="Arial"/>
                <w:i/>
                <w:iCs/>
                <w:sz w:val="22"/>
                <w:szCs w:val="22"/>
              </w:rPr>
              <w:t>Case exploration:</w:t>
            </w:r>
            <w:r>
              <w:rPr>
                <w:rFonts w:ascii="Arial" w:hAnsi="Arial" w:cs="Arial"/>
                <w:sz w:val="22"/>
                <w:szCs w:val="22"/>
              </w:rPr>
              <w:t xml:space="preserve"> public policy disputes</w:t>
            </w:r>
          </w:p>
          <w:p w14:paraId="5DF87B49" w14:textId="41A40E11" w:rsidR="00385B9D" w:rsidRPr="00385B9D" w:rsidRDefault="00385B9D" w:rsidP="00385B9D">
            <w:pPr>
              <w:rPr>
                <w:rFonts w:ascii="Arial" w:hAnsi="Arial" w:cs="Arial"/>
                <w:sz w:val="22"/>
                <w:szCs w:val="22"/>
              </w:rPr>
            </w:pPr>
          </w:p>
        </w:tc>
      </w:tr>
      <w:tr w:rsidR="007A2FD0" w14:paraId="0D75403A" w14:textId="77777777" w:rsidTr="007A2FD0">
        <w:tc>
          <w:tcPr>
            <w:tcW w:w="1165" w:type="dxa"/>
          </w:tcPr>
          <w:p w14:paraId="7E7F639A" w14:textId="392DC34D" w:rsidR="007A2FD0" w:rsidRPr="007A2FD0" w:rsidRDefault="007A2FD0" w:rsidP="007A2FD0">
            <w:pPr>
              <w:rPr>
                <w:rFonts w:ascii="Arial" w:hAnsi="Arial" w:cs="Arial"/>
                <w:sz w:val="22"/>
                <w:szCs w:val="22"/>
              </w:rPr>
            </w:pPr>
            <w:r>
              <w:rPr>
                <w:rFonts w:ascii="Arial" w:hAnsi="Arial" w:cs="Arial"/>
                <w:sz w:val="22"/>
                <w:szCs w:val="22"/>
              </w:rPr>
              <w:t>Mar 26</w:t>
            </w:r>
          </w:p>
        </w:tc>
        <w:tc>
          <w:tcPr>
            <w:tcW w:w="8905" w:type="dxa"/>
          </w:tcPr>
          <w:p w14:paraId="39B52FBD" w14:textId="77777777" w:rsidR="007A2FD0" w:rsidRPr="000852EE" w:rsidRDefault="000852EE" w:rsidP="007A2FD0">
            <w:pPr>
              <w:rPr>
                <w:rFonts w:ascii="Arial" w:hAnsi="Arial" w:cs="Arial"/>
                <w:b/>
                <w:bCs/>
                <w:sz w:val="22"/>
                <w:szCs w:val="22"/>
              </w:rPr>
            </w:pPr>
            <w:r w:rsidRPr="000852EE">
              <w:rPr>
                <w:rFonts w:ascii="Arial" w:hAnsi="Arial" w:cs="Arial"/>
                <w:b/>
                <w:bCs/>
                <w:sz w:val="22"/>
                <w:szCs w:val="22"/>
              </w:rPr>
              <w:t>Consensus building, collaborative decision-making</w:t>
            </w:r>
          </w:p>
          <w:p w14:paraId="6814F476" w14:textId="7E359C3A" w:rsidR="000852EE" w:rsidRPr="000852EE" w:rsidRDefault="000852EE" w:rsidP="000852EE">
            <w:pPr>
              <w:pStyle w:val="ListParagraph"/>
              <w:numPr>
                <w:ilvl w:val="0"/>
                <w:numId w:val="6"/>
              </w:numPr>
              <w:rPr>
                <w:rFonts w:ascii="Arial" w:hAnsi="Arial" w:cs="Arial"/>
                <w:sz w:val="22"/>
                <w:szCs w:val="22"/>
              </w:rPr>
            </w:pPr>
            <w:r w:rsidRPr="000852EE">
              <w:rPr>
                <w:rFonts w:ascii="Arial" w:hAnsi="Arial" w:cs="Arial"/>
                <w:sz w:val="22"/>
                <w:szCs w:val="22"/>
              </w:rPr>
              <w:t xml:space="preserve">Supporting people within and through the 'groan zone' </w:t>
            </w:r>
          </w:p>
          <w:p w14:paraId="06F34057" w14:textId="77777777" w:rsidR="000852EE" w:rsidRPr="000852EE" w:rsidRDefault="000852EE" w:rsidP="000852EE">
            <w:pPr>
              <w:pStyle w:val="ListParagraph"/>
              <w:numPr>
                <w:ilvl w:val="0"/>
                <w:numId w:val="6"/>
              </w:numPr>
              <w:rPr>
                <w:rFonts w:ascii="Arial" w:hAnsi="Arial" w:cs="Arial"/>
                <w:sz w:val="22"/>
                <w:szCs w:val="22"/>
              </w:rPr>
            </w:pPr>
            <w:r w:rsidRPr="000852EE">
              <w:rPr>
                <w:rFonts w:ascii="Arial" w:hAnsi="Arial" w:cs="Arial"/>
                <w:sz w:val="22"/>
                <w:szCs w:val="22"/>
              </w:rPr>
              <w:t xml:space="preserve">Chartering the process: mandate, authority, decision rule </w:t>
            </w:r>
          </w:p>
          <w:p w14:paraId="753E4033" w14:textId="11AB45F6" w:rsidR="000852EE" w:rsidRDefault="000852EE" w:rsidP="000852EE">
            <w:pPr>
              <w:pStyle w:val="ListParagraph"/>
              <w:numPr>
                <w:ilvl w:val="0"/>
                <w:numId w:val="6"/>
              </w:numPr>
              <w:rPr>
                <w:rFonts w:ascii="Arial" w:hAnsi="Arial" w:cs="Arial"/>
                <w:sz w:val="22"/>
                <w:szCs w:val="22"/>
              </w:rPr>
            </w:pPr>
            <w:r w:rsidRPr="000852EE">
              <w:rPr>
                <w:rFonts w:ascii="Arial" w:hAnsi="Arial" w:cs="Arial"/>
                <w:sz w:val="22"/>
                <w:szCs w:val="22"/>
              </w:rPr>
              <w:t xml:space="preserve">Consensus building theory, methods </w:t>
            </w:r>
          </w:p>
          <w:p w14:paraId="4753D78A" w14:textId="3A6DF629" w:rsidR="002A2B85" w:rsidRDefault="002A2B85" w:rsidP="000852EE">
            <w:pPr>
              <w:pStyle w:val="ListParagraph"/>
              <w:numPr>
                <w:ilvl w:val="0"/>
                <w:numId w:val="6"/>
              </w:numPr>
              <w:rPr>
                <w:rFonts w:ascii="Arial" w:hAnsi="Arial" w:cs="Arial"/>
                <w:sz w:val="22"/>
                <w:szCs w:val="22"/>
              </w:rPr>
            </w:pPr>
            <w:r w:rsidRPr="002A2B85">
              <w:rPr>
                <w:rFonts w:ascii="Arial" w:hAnsi="Arial" w:cs="Arial"/>
                <w:i/>
                <w:iCs/>
                <w:sz w:val="22"/>
                <w:szCs w:val="22"/>
              </w:rPr>
              <w:t>Process methodologies:</w:t>
            </w:r>
            <w:r>
              <w:rPr>
                <w:rFonts w:ascii="Arial" w:hAnsi="Arial" w:cs="Arial"/>
                <w:sz w:val="22"/>
                <w:szCs w:val="22"/>
              </w:rPr>
              <w:t xml:space="preserve"> decision rules and gradients of agreement</w:t>
            </w:r>
          </w:p>
          <w:p w14:paraId="27894429" w14:textId="7167AF28" w:rsidR="002A2B85" w:rsidRDefault="002A2B85" w:rsidP="000852EE">
            <w:pPr>
              <w:pStyle w:val="ListParagraph"/>
              <w:numPr>
                <w:ilvl w:val="0"/>
                <w:numId w:val="6"/>
              </w:numPr>
              <w:rPr>
                <w:rFonts w:ascii="Arial" w:hAnsi="Arial" w:cs="Arial"/>
                <w:sz w:val="22"/>
                <w:szCs w:val="22"/>
              </w:rPr>
            </w:pPr>
            <w:r w:rsidRPr="002A2B85">
              <w:rPr>
                <w:rFonts w:ascii="Arial" w:hAnsi="Arial" w:cs="Arial"/>
                <w:i/>
                <w:iCs/>
                <w:sz w:val="22"/>
                <w:szCs w:val="22"/>
              </w:rPr>
              <w:t>Case exploration:</w:t>
            </w:r>
            <w:r>
              <w:rPr>
                <w:rFonts w:ascii="Arial" w:hAnsi="Arial" w:cs="Arial"/>
                <w:sz w:val="22"/>
                <w:szCs w:val="22"/>
              </w:rPr>
              <w:t xml:space="preserve"> TBD</w:t>
            </w:r>
          </w:p>
          <w:p w14:paraId="781D0C7E" w14:textId="646441D4" w:rsidR="00385B9D" w:rsidRPr="00385B9D" w:rsidRDefault="00385B9D" w:rsidP="00385B9D">
            <w:pPr>
              <w:rPr>
                <w:rFonts w:ascii="Arial" w:hAnsi="Arial" w:cs="Arial"/>
                <w:sz w:val="22"/>
                <w:szCs w:val="22"/>
              </w:rPr>
            </w:pPr>
          </w:p>
        </w:tc>
      </w:tr>
      <w:tr w:rsidR="007A2FD0" w14:paraId="50289175" w14:textId="77777777" w:rsidTr="007A2FD0">
        <w:tc>
          <w:tcPr>
            <w:tcW w:w="1165" w:type="dxa"/>
          </w:tcPr>
          <w:p w14:paraId="662DADAF" w14:textId="1F72BA8B" w:rsidR="007A2FD0" w:rsidRPr="007A2FD0" w:rsidRDefault="000852EE" w:rsidP="007A2FD0">
            <w:pPr>
              <w:rPr>
                <w:rFonts w:ascii="Arial" w:hAnsi="Arial" w:cs="Arial"/>
                <w:sz w:val="22"/>
                <w:szCs w:val="22"/>
              </w:rPr>
            </w:pPr>
            <w:r>
              <w:rPr>
                <w:rFonts w:ascii="Arial" w:hAnsi="Arial" w:cs="Arial"/>
                <w:sz w:val="22"/>
                <w:szCs w:val="22"/>
              </w:rPr>
              <w:t>April 16</w:t>
            </w:r>
          </w:p>
        </w:tc>
        <w:tc>
          <w:tcPr>
            <w:tcW w:w="8905" w:type="dxa"/>
          </w:tcPr>
          <w:p w14:paraId="73BC17FD" w14:textId="0B93E6F2" w:rsidR="007A2FD0" w:rsidRPr="000852EE" w:rsidRDefault="000852EE" w:rsidP="007A2FD0">
            <w:pPr>
              <w:rPr>
                <w:rFonts w:ascii="Arial" w:hAnsi="Arial" w:cs="Arial"/>
                <w:b/>
                <w:bCs/>
                <w:sz w:val="22"/>
                <w:szCs w:val="22"/>
              </w:rPr>
            </w:pPr>
            <w:r w:rsidRPr="000852EE">
              <w:rPr>
                <w:rFonts w:ascii="Arial" w:hAnsi="Arial" w:cs="Arial"/>
                <w:b/>
                <w:bCs/>
                <w:sz w:val="22"/>
                <w:szCs w:val="22"/>
              </w:rPr>
              <w:t>Working with the past; imagining the future</w:t>
            </w:r>
          </w:p>
          <w:p w14:paraId="704E292D" w14:textId="77777777" w:rsidR="000852EE" w:rsidRPr="000852EE" w:rsidRDefault="000852EE" w:rsidP="000852EE">
            <w:pPr>
              <w:pStyle w:val="ListParagraph"/>
              <w:numPr>
                <w:ilvl w:val="0"/>
                <w:numId w:val="7"/>
              </w:numPr>
              <w:rPr>
                <w:rFonts w:ascii="Arial" w:hAnsi="Arial" w:cs="Arial"/>
                <w:sz w:val="22"/>
                <w:szCs w:val="22"/>
              </w:rPr>
            </w:pPr>
            <w:r w:rsidRPr="000852EE">
              <w:rPr>
                <w:rFonts w:ascii="Arial" w:hAnsi="Arial" w:cs="Arial"/>
                <w:sz w:val="22"/>
                <w:szCs w:val="22"/>
              </w:rPr>
              <w:t>Recognizing interdependencies; transforming unilateralism; exploring the future together</w:t>
            </w:r>
          </w:p>
          <w:p w14:paraId="018E9F0F" w14:textId="190F0F82" w:rsidR="000852EE" w:rsidRPr="000852EE" w:rsidRDefault="000852EE" w:rsidP="000852EE">
            <w:pPr>
              <w:pStyle w:val="ListParagraph"/>
              <w:numPr>
                <w:ilvl w:val="0"/>
                <w:numId w:val="7"/>
              </w:numPr>
              <w:rPr>
                <w:rFonts w:ascii="Arial" w:hAnsi="Arial" w:cs="Arial"/>
                <w:sz w:val="22"/>
                <w:szCs w:val="22"/>
              </w:rPr>
            </w:pPr>
            <w:r w:rsidRPr="000852EE">
              <w:rPr>
                <w:rFonts w:ascii="Arial" w:hAnsi="Arial" w:cs="Arial"/>
                <w:sz w:val="22"/>
                <w:szCs w:val="22"/>
              </w:rPr>
              <w:t>Methods for exploring the legacies of the past: acknowledging harms</w:t>
            </w:r>
            <w:r w:rsidR="00385B9D">
              <w:rPr>
                <w:rFonts w:ascii="Arial" w:hAnsi="Arial" w:cs="Arial"/>
                <w:sz w:val="22"/>
                <w:szCs w:val="22"/>
              </w:rPr>
              <w:t>, exploring accountability</w:t>
            </w:r>
            <w:r w:rsidRPr="000852EE">
              <w:rPr>
                <w:rFonts w:ascii="Arial" w:hAnsi="Arial" w:cs="Arial"/>
                <w:sz w:val="22"/>
                <w:szCs w:val="22"/>
              </w:rPr>
              <w:t>, affirming gifts, recognizing patterns</w:t>
            </w:r>
          </w:p>
          <w:p w14:paraId="177A629B" w14:textId="321230BF" w:rsidR="000852EE" w:rsidRDefault="00FE34D5" w:rsidP="004C682B">
            <w:pPr>
              <w:pStyle w:val="ListParagraph"/>
              <w:numPr>
                <w:ilvl w:val="0"/>
                <w:numId w:val="7"/>
              </w:numPr>
              <w:rPr>
                <w:rFonts w:ascii="Arial" w:hAnsi="Arial" w:cs="Arial"/>
                <w:sz w:val="22"/>
                <w:szCs w:val="22"/>
              </w:rPr>
            </w:pPr>
            <w:r w:rsidRPr="002A2B85">
              <w:rPr>
                <w:rFonts w:ascii="Arial" w:hAnsi="Arial" w:cs="Arial"/>
                <w:i/>
                <w:iCs/>
                <w:sz w:val="22"/>
                <w:szCs w:val="22"/>
              </w:rPr>
              <w:t>Process methodologies:</w:t>
            </w:r>
            <w:r>
              <w:rPr>
                <w:rFonts w:ascii="Arial" w:hAnsi="Arial" w:cs="Arial"/>
                <w:sz w:val="22"/>
                <w:szCs w:val="22"/>
              </w:rPr>
              <w:t xml:space="preserve"> T</w:t>
            </w:r>
            <w:r w:rsidR="000852EE" w:rsidRPr="000852EE">
              <w:rPr>
                <w:rFonts w:ascii="Arial" w:hAnsi="Arial" w:cs="Arial"/>
                <w:sz w:val="22"/>
                <w:szCs w:val="22"/>
              </w:rPr>
              <w:t xml:space="preserve">ransformative </w:t>
            </w:r>
            <w:r w:rsidR="002A2B85">
              <w:rPr>
                <w:rFonts w:ascii="Arial" w:hAnsi="Arial" w:cs="Arial"/>
                <w:sz w:val="22"/>
                <w:szCs w:val="22"/>
              </w:rPr>
              <w:t>S</w:t>
            </w:r>
            <w:r w:rsidR="000852EE" w:rsidRPr="000852EE">
              <w:rPr>
                <w:rFonts w:ascii="Arial" w:hAnsi="Arial" w:cs="Arial"/>
                <w:sz w:val="22"/>
                <w:szCs w:val="22"/>
              </w:rPr>
              <w:t xml:space="preserve">cenario </w:t>
            </w:r>
            <w:r w:rsidR="002A2B85">
              <w:rPr>
                <w:rFonts w:ascii="Arial" w:hAnsi="Arial" w:cs="Arial"/>
                <w:sz w:val="22"/>
                <w:szCs w:val="22"/>
              </w:rPr>
              <w:t>P</w:t>
            </w:r>
            <w:r w:rsidR="000852EE" w:rsidRPr="000852EE">
              <w:rPr>
                <w:rFonts w:ascii="Arial" w:hAnsi="Arial" w:cs="Arial"/>
                <w:sz w:val="22"/>
                <w:szCs w:val="22"/>
              </w:rPr>
              <w:t>lanning</w:t>
            </w:r>
            <w:r>
              <w:rPr>
                <w:rFonts w:ascii="Arial" w:hAnsi="Arial" w:cs="Arial"/>
                <w:sz w:val="22"/>
                <w:szCs w:val="22"/>
              </w:rPr>
              <w:t>; Future Search</w:t>
            </w:r>
          </w:p>
          <w:p w14:paraId="08155CDC" w14:textId="39A496C3" w:rsidR="002A2B85" w:rsidRDefault="002A2B85" w:rsidP="004C682B">
            <w:pPr>
              <w:pStyle w:val="ListParagraph"/>
              <w:numPr>
                <w:ilvl w:val="0"/>
                <w:numId w:val="7"/>
              </w:numPr>
              <w:rPr>
                <w:rFonts w:ascii="Arial" w:hAnsi="Arial" w:cs="Arial"/>
                <w:sz w:val="22"/>
                <w:szCs w:val="22"/>
              </w:rPr>
            </w:pPr>
            <w:r w:rsidRPr="002A2B85">
              <w:rPr>
                <w:rFonts w:ascii="Arial" w:hAnsi="Arial" w:cs="Arial"/>
                <w:i/>
                <w:iCs/>
                <w:sz w:val="22"/>
                <w:szCs w:val="22"/>
              </w:rPr>
              <w:t>Case explorations:</w:t>
            </w:r>
            <w:r>
              <w:rPr>
                <w:rFonts w:ascii="Arial" w:hAnsi="Arial" w:cs="Arial"/>
                <w:sz w:val="22"/>
                <w:szCs w:val="22"/>
              </w:rPr>
              <w:t xml:space="preserve"> South Africa Mont Fleur process; Mennonite Church USA</w:t>
            </w:r>
          </w:p>
          <w:p w14:paraId="016D10C2" w14:textId="0B92BD72" w:rsidR="00385B9D" w:rsidRPr="00385B9D" w:rsidRDefault="00385B9D" w:rsidP="00385B9D">
            <w:pPr>
              <w:rPr>
                <w:rFonts w:ascii="Arial" w:hAnsi="Arial" w:cs="Arial"/>
                <w:sz w:val="22"/>
                <w:szCs w:val="22"/>
              </w:rPr>
            </w:pPr>
          </w:p>
        </w:tc>
      </w:tr>
    </w:tbl>
    <w:p w14:paraId="1B678E2F" w14:textId="40EF9015" w:rsidR="00E57F79" w:rsidRDefault="00E57F79" w:rsidP="004C682B">
      <w:pPr>
        <w:rPr>
          <w:rFonts w:ascii="Arial" w:hAnsi="Arial" w:cs="Arial"/>
          <w:bCs/>
          <w:sz w:val="22"/>
          <w:szCs w:val="22"/>
        </w:rPr>
      </w:pPr>
    </w:p>
    <w:p w14:paraId="1AD14D84" w14:textId="77777777" w:rsidR="004C682B" w:rsidRPr="00CC5F21" w:rsidRDefault="004C682B" w:rsidP="004C682B">
      <w:pPr>
        <w:rPr>
          <w:rFonts w:ascii="Arial" w:hAnsi="Arial" w:cs="Arial"/>
          <w:b/>
          <w:bCs/>
          <w:smallCaps/>
          <w:color w:val="4F6228" w:themeColor="accent3" w:themeShade="80"/>
        </w:rPr>
      </w:pPr>
      <w:r w:rsidRPr="00CC5F21">
        <w:rPr>
          <w:rFonts w:ascii="Arial" w:hAnsi="Arial" w:cs="Arial"/>
          <w:b/>
          <w:bCs/>
          <w:smallCaps/>
          <w:color w:val="4F6228" w:themeColor="accent3" w:themeShade="80"/>
        </w:rPr>
        <w:t>Grading Criteria and Other Policies:</w:t>
      </w:r>
    </w:p>
    <w:p w14:paraId="6A97843D" w14:textId="77777777" w:rsidR="004C682B" w:rsidRDefault="004C682B" w:rsidP="004C682B">
      <w:pPr>
        <w:rPr>
          <w:rFonts w:ascii="Arial" w:hAnsi="Arial" w:cs="Arial"/>
          <w:b/>
          <w:bCs/>
          <w:smallCaps/>
          <w:color w:val="006BB5"/>
          <w:sz w:val="22"/>
          <w:szCs w:val="22"/>
        </w:rPr>
      </w:pPr>
    </w:p>
    <w:p w14:paraId="41775A55" w14:textId="3FCF742C" w:rsidR="004C682B" w:rsidRPr="004C682B" w:rsidRDefault="004C682B" w:rsidP="004C682B">
      <w:pPr>
        <w:rPr>
          <w:rFonts w:ascii="Arial" w:hAnsi="Arial" w:cs="Arial"/>
          <w:bCs/>
          <w:smallCaps/>
          <w:color w:val="006BB5"/>
          <w:sz w:val="22"/>
          <w:szCs w:val="22"/>
        </w:rPr>
      </w:pPr>
      <w:r>
        <w:rPr>
          <w:rFonts w:ascii="Arial" w:hAnsi="Arial" w:cs="Arial"/>
          <w:sz w:val="22"/>
          <w:szCs w:val="22"/>
        </w:rPr>
        <w:t>Will be added to the final syllabus.</w:t>
      </w:r>
      <w:bookmarkStart w:id="0" w:name="_GoBack"/>
      <w:bookmarkEnd w:id="0"/>
    </w:p>
    <w:sectPr w:rsidR="004C682B" w:rsidRPr="004C682B" w:rsidSect="008416D1">
      <w:footerReference w:type="even"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20EBE" w14:textId="77777777" w:rsidR="00A51F47" w:rsidRDefault="00A51F47" w:rsidP="00E57F79">
      <w:r>
        <w:separator/>
      </w:r>
    </w:p>
  </w:endnote>
  <w:endnote w:type="continuationSeparator" w:id="0">
    <w:p w14:paraId="13E63EDF" w14:textId="77777777" w:rsidR="00A51F47" w:rsidRDefault="00A51F47" w:rsidP="00E57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05094" w14:textId="77777777" w:rsidR="00BB0C9B" w:rsidRDefault="00BB0C9B" w:rsidP="001344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8CFE45B" w14:textId="70BF9527" w:rsidR="00BB0C9B" w:rsidRDefault="00BB0C9B" w:rsidP="001344E4">
    <w:pPr>
      <w:pStyle w:val="Footer"/>
      <w:ind w:right="360" w:firstLine="360"/>
      <w:rPr>
        <w:rFonts w:ascii="Arial" w:hAnsi="Arial" w:cs="Arial"/>
        <w:sz w:val="22"/>
        <w:szCs w:val="22"/>
      </w:rPr>
    </w:pPr>
    <w:r>
      <w:rPr>
        <w:rFonts w:ascii="Arial" w:hAnsi="Arial" w:cs="Arial"/>
        <w:sz w:val="22"/>
        <w:szCs w:val="22"/>
      </w:rPr>
      <w:t xml:space="preserve">© </w:t>
    </w:r>
    <w:r w:rsidRPr="008416D1">
      <w:rPr>
        <w:rFonts w:ascii="Arial" w:hAnsi="Arial" w:cs="Arial"/>
        <w:i/>
        <w:sz w:val="22"/>
        <w:szCs w:val="22"/>
      </w:rPr>
      <w:t>Insert your name, year</w:t>
    </w:r>
    <w:r>
      <w:rPr>
        <w:rFonts w:ascii="Arial" w:hAnsi="Arial" w:cs="Arial"/>
        <w:sz w:val="22"/>
        <w:szCs w:val="22"/>
      </w:rPr>
      <w:t>.</w:t>
    </w:r>
  </w:p>
  <w:p w14:paraId="4A783F70" w14:textId="77777777" w:rsidR="00BB0C9B" w:rsidRDefault="00BB0C9B" w:rsidP="00425095">
    <w:pPr>
      <w:pStyle w:val="Footer"/>
      <w:ind w:right="360" w:firstLine="360"/>
      <w:rPr>
        <w:rFonts w:ascii="Arial" w:hAnsi="Arial" w:cs="Arial"/>
        <w:i/>
        <w:sz w:val="22"/>
        <w:szCs w:val="22"/>
      </w:rPr>
    </w:pPr>
    <w:r>
      <w:rPr>
        <w:rFonts w:ascii="Arial" w:hAnsi="Arial" w:cs="Arial"/>
        <w:sz w:val="22"/>
        <w:szCs w:val="22"/>
      </w:rPr>
      <w:t xml:space="preserve">PAX </w:t>
    </w:r>
    <w:r>
      <w:rPr>
        <w:rFonts w:ascii="Arial" w:hAnsi="Arial" w:cs="Arial"/>
        <w:i/>
        <w:sz w:val="22"/>
        <w:szCs w:val="22"/>
      </w:rPr>
      <w:t>insert course number</w:t>
    </w:r>
  </w:p>
  <w:p w14:paraId="0226975D" w14:textId="77777777" w:rsidR="00BB0C9B" w:rsidRPr="00425095" w:rsidRDefault="00BB0C9B" w:rsidP="00425095">
    <w:pPr>
      <w:pStyle w:val="Footer"/>
      <w:ind w:right="360" w:firstLine="360"/>
      <w:rPr>
        <w:rFonts w:ascii="Arial" w:hAnsi="Arial" w:cs="Arial"/>
        <w:sz w:val="22"/>
        <w:szCs w:val="22"/>
      </w:rPr>
    </w:pPr>
    <w:r>
      <w:rPr>
        <w:rFonts w:ascii="Arial" w:hAnsi="Arial" w:cs="Arial"/>
        <w:i/>
        <w:sz w:val="22"/>
        <w:szCs w:val="22"/>
      </w:rPr>
      <w:t>Insert term/semester</w:t>
    </w:r>
    <w:r w:rsidRPr="00DE2C56">
      <w:rPr>
        <w:rFonts w:ascii="Arial" w:hAnsi="Arial" w:cs="Arial"/>
        <w:sz w:val="22"/>
        <w:szCs w:val="22"/>
      </w:rPr>
      <w:ptab w:relativeTo="margin" w:alignment="center" w:leader="none"/>
    </w:r>
    <w:r w:rsidRPr="00DE2C56">
      <w:rPr>
        <w:rFonts w:ascii="Arial" w:hAnsi="Arial" w:cs="Arial"/>
        <w:sz w:val="22"/>
        <w:szCs w:val="22"/>
      </w:rPr>
      <w:ptab w:relativeTo="margin" w:alignment="right" w:leader="none"/>
    </w:r>
    <w:r w:rsidRPr="00DE2C56">
      <w:rPr>
        <w:rFonts w:ascii="Arial" w:hAnsi="Arial" w:cs="Arial"/>
        <w:sz w:val="22"/>
        <w:szCs w:val="22"/>
      </w:rPr>
      <w:ptab w:relativeTo="margin" w:alignment="right" w:leader="none"/>
    </w:r>
    <w:r>
      <w:rPr>
        <w:rFonts w:ascii="Arial" w:hAnsi="Arial" w:cs="Arial"/>
        <w:sz w:val="22"/>
        <w:szCs w:val="22"/>
      </w:rPr>
      <w:t xml:space="preserve"> </w:t>
    </w:r>
    <w:r>
      <w:ptab w:relativeTo="margin" w:alignment="center" w:leader="none"/>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780DA" w14:textId="6BBF8A8F" w:rsidR="00BB0C9B" w:rsidRDefault="00BB0C9B" w:rsidP="001344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C76F67F" w14:textId="7206D3A6" w:rsidR="00BB0C9B" w:rsidRDefault="00BB0C9B" w:rsidP="001344E4">
    <w:pPr>
      <w:pStyle w:val="Footer"/>
      <w:ind w:right="360" w:firstLine="360"/>
      <w:rPr>
        <w:rFonts w:ascii="Arial" w:hAnsi="Arial" w:cs="Arial"/>
        <w:sz w:val="22"/>
        <w:szCs w:val="22"/>
      </w:rPr>
    </w:pPr>
    <w:r>
      <w:rPr>
        <w:rFonts w:ascii="Arial" w:hAnsi="Arial" w:cs="Arial"/>
        <w:sz w:val="22"/>
        <w:szCs w:val="22"/>
      </w:rPr>
      <w:t xml:space="preserve">© </w:t>
    </w:r>
    <w:r w:rsidR="0007147D">
      <w:rPr>
        <w:rFonts w:ascii="Arial" w:hAnsi="Arial" w:cs="Arial"/>
        <w:sz w:val="22"/>
        <w:szCs w:val="22"/>
      </w:rPr>
      <w:t>2020</w:t>
    </w:r>
    <w:r>
      <w:rPr>
        <w:rFonts w:ascii="Arial" w:hAnsi="Arial" w:cs="Arial"/>
        <w:sz w:val="22"/>
        <w:szCs w:val="22"/>
      </w:rPr>
      <w:t xml:space="preserve"> </w:t>
    </w:r>
    <w:r w:rsidR="0007147D">
      <w:rPr>
        <w:rFonts w:ascii="Arial" w:hAnsi="Arial" w:cs="Arial"/>
        <w:sz w:val="22"/>
        <w:szCs w:val="22"/>
      </w:rPr>
      <w:t>Dr Catherine Barnes</w:t>
    </w:r>
  </w:p>
  <w:p w14:paraId="2ADB5508" w14:textId="6D1BB359" w:rsidR="00BB0C9B" w:rsidRDefault="00BB0C9B" w:rsidP="001344E4">
    <w:pPr>
      <w:pStyle w:val="Footer"/>
      <w:ind w:right="360" w:firstLine="360"/>
      <w:rPr>
        <w:rFonts w:ascii="Arial" w:hAnsi="Arial" w:cs="Arial"/>
        <w:i/>
        <w:sz w:val="22"/>
        <w:szCs w:val="22"/>
      </w:rPr>
    </w:pPr>
    <w:r>
      <w:rPr>
        <w:rFonts w:ascii="Arial" w:hAnsi="Arial" w:cs="Arial"/>
        <w:sz w:val="22"/>
        <w:szCs w:val="22"/>
      </w:rPr>
      <w:t xml:space="preserve">PAX </w:t>
    </w:r>
    <w:r w:rsidR="004C682B">
      <w:rPr>
        <w:rFonts w:ascii="Arial" w:hAnsi="Arial" w:cs="Arial"/>
        <w:i/>
        <w:sz w:val="22"/>
        <w:szCs w:val="22"/>
      </w:rPr>
      <w:t>685</w:t>
    </w:r>
  </w:p>
  <w:p w14:paraId="3B59E727" w14:textId="72D3C8C4" w:rsidR="00BB0C9B" w:rsidRPr="00E57F79" w:rsidRDefault="0007147D" w:rsidP="001344E4">
    <w:pPr>
      <w:pStyle w:val="Footer"/>
      <w:ind w:right="360" w:firstLine="360"/>
      <w:rPr>
        <w:rFonts w:ascii="Arial" w:hAnsi="Arial" w:cs="Arial"/>
        <w:sz w:val="22"/>
        <w:szCs w:val="22"/>
      </w:rPr>
    </w:pPr>
    <w:r>
      <w:rPr>
        <w:rFonts w:ascii="Arial" w:hAnsi="Arial" w:cs="Arial"/>
        <w:i/>
        <w:sz w:val="22"/>
        <w:szCs w:val="22"/>
      </w:rPr>
      <w:t>Spring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3CD09" w14:textId="77777777" w:rsidR="00A51F47" w:rsidRDefault="00A51F47" w:rsidP="00E57F79">
      <w:r>
        <w:separator/>
      </w:r>
    </w:p>
  </w:footnote>
  <w:footnote w:type="continuationSeparator" w:id="0">
    <w:p w14:paraId="4F8FEEA9" w14:textId="77777777" w:rsidR="00A51F47" w:rsidRDefault="00A51F47" w:rsidP="00E57F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11013"/>
    <w:multiLevelType w:val="hybridMultilevel"/>
    <w:tmpl w:val="95F2DD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8E2900"/>
    <w:multiLevelType w:val="hybridMultilevel"/>
    <w:tmpl w:val="5CFA4B4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9122A9"/>
    <w:multiLevelType w:val="multilevel"/>
    <w:tmpl w:val="DBD2B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79472B"/>
    <w:multiLevelType w:val="hybridMultilevel"/>
    <w:tmpl w:val="F578C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1681661"/>
    <w:multiLevelType w:val="hybridMultilevel"/>
    <w:tmpl w:val="89DAF4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C465F56"/>
    <w:multiLevelType w:val="hybridMultilevel"/>
    <w:tmpl w:val="620CF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DB84651"/>
    <w:multiLevelType w:val="hybridMultilevel"/>
    <w:tmpl w:val="C938E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7643874"/>
    <w:multiLevelType w:val="hybridMultilevel"/>
    <w:tmpl w:val="D242C4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9B63937"/>
    <w:multiLevelType w:val="hybridMultilevel"/>
    <w:tmpl w:val="4482AA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A691BC3"/>
    <w:multiLevelType w:val="hybridMultilevel"/>
    <w:tmpl w:val="A2FE8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7"/>
  </w:num>
  <w:num w:numId="6">
    <w:abstractNumId w:val="8"/>
  </w:num>
  <w:num w:numId="7">
    <w:abstractNumId w:val="5"/>
  </w:num>
  <w:num w:numId="8">
    <w:abstractNumId w:val="4"/>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8FA"/>
    <w:rsid w:val="0007147D"/>
    <w:rsid w:val="00075AED"/>
    <w:rsid w:val="000852EE"/>
    <w:rsid w:val="00093A91"/>
    <w:rsid w:val="000A24BA"/>
    <w:rsid w:val="00124B6B"/>
    <w:rsid w:val="001344E4"/>
    <w:rsid w:val="001468FA"/>
    <w:rsid w:val="001D7B36"/>
    <w:rsid w:val="001E0334"/>
    <w:rsid w:val="001E1DD6"/>
    <w:rsid w:val="001E284F"/>
    <w:rsid w:val="00221EAF"/>
    <w:rsid w:val="002A2B85"/>
    <w:rsid w:val="002B3350"/>
    <w:rsid w:val="002E168E"/>
    <w:rsid w:val="002E6A1B"/>
    <w:rsid w:val="003221AD"/>
    <w:rsid w:val="00385B9D"/>
    <w:rsid w:val="003D2A5D"/>
    <w:rsid w:val="00425095"/>
    <w:rsid w:val="00425D74"/>
    <w:rsid w:val="0043261F"/>
    <w:rsid w:val="00483FCA"/>
    <w:rsid w:val="004A00DF"/>
    <w:rsid w:val="004C2174"/>
    <w:rsid w:val="004C682B"/>
    <w:rsid w:val="004F73A7"/>
    <w:rsid w:val="00541DBC"/>
    <w:rsid w:val="005470BE"/>
    <w:rsid w:val="00564133"/>
    <w:rsid w:val="006F151A"/>
    <w:rsid w:val="00730B61"/>
    <w:rsid w:val="007A2FD0"/>
    <w:rsid w:val="007A6157"/>
    <w:rsid w:val="00815B0A"/>
    <w:rsid w:val="008416D1"/>
    <w:rsid w:val="008D6BE8"/>
    <w:rsid w:val="008E64AA"/>
    <w:rsid w:val="00907435"/>
    <w:rsid w:val="00943C11"/>
    <w:rsid w:val="00967E15"/>
    <w:rsid w:val="00977FF9"/>
    <w:rsid w:val="009A68A8"/>
    <w:rsid w:val="00A053B5"/>
    <w:rsid w:val="00A51F47"/>
    <w:rsid w:val="00AC0BE4"/>
    <w:rsid w:val="00AC2F11"/>
    <w:rsid w:val="00B2063D"/>
    <w:rsid w:val="00B95F28"/>
    <w:rsid w:val="00BB0C9B"/>
    <w:rsid w:val="00C9777F"/>
    <w:rsid w:val="00CB254D"/>
    <w:rsid w:val="00CB603D"/>
    <w:rsid w:val="00CB79BF"/>
    <w:rsid w:val="00CC5F21"/>
    <w:rsid w:val="00D021DB"/>
    <w:rsid w:val="00D65CC8"/>
    <w:rsid w:val="00DA3679"/>
    <w:rsid w:val="00DC3308"/>
    <w:rsid w:val="00DE2C56"/>
    <w:rsid w:val="00E57F79"/>
    <w:rsid w:val="00E85746"/>
    <w:rsid w:val="00EA3374"/>
    <w:rsid w:val="00EC009E"/>
    <w:rsid w:val="00ED5E0F"/>
    <w:rsid w:val="00F36B99"/>
    <w:rsid w:val="00F846ED"/>
    <w:rsid w:val="00FC052A"/>
    <w:rsid w:val="00FE34D5"/>
    <w:rsid w:val="00FE6FAF"/>
    <w:rsid w:val="00FF4B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7D4F26"/>
  <w14:defaultImageDpi w14:val="300"/>
  <w15:docId w15:val="{2A5CA49D-B808-4536-BA73-D1DDC0A48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03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0334"/>
    <w:rPr>
      <w:rFonts w:ascii="Lucida Grande" w:hAnsi="Lucida Grande" w:cs="Lucida Grande"/>
      <w:sz w:val="18"/>
      <w:szCs w:val="18"/>
    </w:rPr>
  </w:style>
  <w:style w:type="table" w:styleId="TableGrid">
    <w:name w:val="Table Grid"/>
    <w:basedOn w:val="TableNormal"/>
    <w:uiPriority w:val="59"/>
    <w:rsid w:val="00E57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7F79"/>
    <w:pPr>
      <w:tabs>
        <w:tab w:val="center" w:pos="4320"/>
        <w:tab w:val="right" w:pos="8640"/>
      </w:tabs>
    </w:pPr>
  </w:style>
  <w:style w:type="character" w:customStyle="1" w:styleId="HeaderChar">
    <w:name w:val="Header Char"/>
    <w:basedOn w:val="DefaultParagraphFont"/>
    <w:link w:val="Header"/>
    <w:uiPriority w:val="99"/>
    <w:rsid w:val="00E57F79"/>
  </w:style>
  <w:style w:type="paragraph" w:styleId="Footer">
    <w:name w:val="footer"/>
    <w:basedOn w:val="Normal"/>
    <w:link w:val="FooterChar"/>
    <w:uiPriority w:val="99"/>
    <w:unhideWhenUsed/>
    <w:rsid w:val="00E57F79"/>
    <w:pPr>
      <w:tabs>
        <w:tab w:val="center" w:pos="4320"/>
        <w:tab w:val="right" w:pos="8640"/>
      </w:tabs>
    </w:pPr>
  </w:style>
  <w:style w:type="character" w:customStyle="1" w:styleId="FooterChar">
    <w:name w:val="Footer Char"/>
    <w:basedOn w:val="DefaultParagraphFont"/>
    <w:link w:val="Footer"/>
    <w:uiPriority w:val="99"/>
    <w:rsid w:val="00E57F79"/>
  </w:style>
  <w:style w:type="character" w:styleId="PageNumber">
    <w:name w:val="page number"/>
    <w:basedOn w:val="DefaultParagraphFont"/>
    <w:uiPriority w:val="99"/>
    <w:semiHidden/>
    <w:unhideWhenUsed/>
    <w:rsid w:val="00E57F79"/>
  </w:style>
  <w:style w:type="paragraph" w:styleId="ListParagraph">
    <w:name w:val="List Paragraph"/>
    <w:basedOn w:val="Normal"/>
    <w:uiPriority w:val="34"/>
    <w:qFormat/>
    <w:rsid w:val="001D7B36"/>
    <w:pPr>
      <w:ind w:left="720"/>
      <w:contextualSpacing/>
    </w:pPr>
  </w:style>
  <w:style w:type="character" w:styleId="CommentReference">
    <w:name w:val="annotation reference"/>
    <w:basedOn w:val="DefaultParagraphFont"/>
    <w:uiPriority w:val="99"/>
    <w:semiHidden/>
    <w:unhideWhenUsed/>
    <w:rsid w:val="008416D1"/>
    <w:rPr>
      <w:sz w:val="16"/>
      <w:szCs w:val="16"/>
    </w:rPr>
  </w:style>
  <w:style w:type="paragraph" w:styleId="CommentText">
    <w:name w:val="annotation text"/>
    <w:basedOn w:val="Normal"/>
    <w:link w:val="CommentTextChar"/>
    <w:uiPriority w:val="99"/>
    <w:semiHidden/>
    <w:unhideWhenUsed/>
    <w:rsid w:val="008416D1"/>
    <w:rPr>
      <w:sz w:val="20"/>
      <w:szCs w:val="20"/>
    </w:rPr>
  </w:style>
  <w:style w:type="character" w:customStyle="1" w:styleId="CommentTextChar">
    <w:name w:val="Comment Text Char"/>
    <w:basedOn w:val="DefaultParagraphFont"/>
    <w:link w:val="CommentText"/>
    <w:uiPriority w:val="99"/>
    <w:semiHidden/>
    <w:rsid w:val="008416D1"/>
    <w:rPr>
      <w:sz w:val="20"/>
      <w:szCs w:val="20"/>
    </w:rPr>
  </w:style>
  <w:style w:type="paragraph" w:styleId="CommentSubject">
    <w:name w:val="annotation subject"/>
    <w:basedOn w:val="CommentText"/>
    <w:next w:val="CommentText"/>
    <w:link w:val="CommentSubjectChar"/>
    <w:uiPriority w:val="99"/>
    <w:semiHidden/>
    <w:unhideWhenUsed/>
    <w:rsid w:val="008416D1"/>
    <w:rPr>
      <w:b/>
      <w:bCs/>
    </w:rPr>
  </w:style>
  <w:style w:type="character" w:customStyle="1" w:styleId="CommentSubjectChar">
    <w:name w:val="Comment Subject Char"/>
    <w:basedOn w:val="CommentTextChar"/>
    <w:link w:val="CommentSubject"/>
    <w:uiPriority w:val="99"/>
    <w:semiHidden/>
    <w:rsid w:val="008416D1"/>
    <w:rPr>
      <w:b/>
      <w:bCs/>
      <w:sz w:val="20"/>
      <w:szCs w:val="20"/>
    </w:rPr>
  </w:style>
  <w:style w:type="character" w:styleId="Hyperlink">
    <w:name w:val="Hyperlink"/>
    <w:basedOn w:val="DefaultParagraphFont"/>
    <w:uiPriority w:val="99"/>
    <w:unhideWhenUsed/>
    <w:rsid w:val="004C682B"/>
    <w:rPr>
      <w:color w:val="0000FF" w:themeColor="hyperlink"/>
      <w:u w:val="single"/>
    </w:rPr>
  </w:style>
  <w:style w:type="character" w:styleId="UnresolvedMention">
    <w:name w:val="Unresolved Mention"/>
    <w:basedOn w:val="DefaultParagraphFont"/>
    <w:uiPriority w:val="99"/>
    <w:semiHidden/>
    <w:unhideWhenUsed/>
    <w:rsid w:val="004C68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705241">
      <w:bodyDiv w:val="1"/>
      <w:marLeft w:val="0"/>
      <w:marRight w:val="0"/>
      <w:marTop w:val="0"/>
      <w:marBottom w:val="0"/>
      <w:divBdr>
        <w:top w:val="none" w:sz="0" w:space="0" w:color="auto"/>
        <w:left w:val="none" w:sz="0" w:space="0" w:color="auto"/>
        <w:bottom w:val="none" w:sz="0" w:space="0" w:color="auto"/>
        <w:right w:val="none" w:sz="0" w:space="0" w:color="auto"/>
      </w:divBdr>
    </w:div>
    <w:div w:id="1468477318">
      <w:bodyDiv w:val="1"/>
      <w:marLeft w:val="0"/>
      <w:marRight w:val="0"/>
      <w:marTop w:val="0"/>
      <w:marBottom w:val="0"/>
      <w:divBdr>
        <w:top w:val="none" w:sz="0" w:space="0" w:color="auto"/>
        <w:left w:val="none" w:sz="0" w:space="0" w:color="auto"/>
        <w:bottom w:val="none" w:sz="0" w:space="0" w:color="auto"/>
        <w:right w:val="none" w:sz="0" w:space="0" w:color="auto"/>
      </w:divBdr>
    </w:div>
    <w:div w:id="1554656695">
      <w:bodyDiv w:val="1"/>
      <w:marLeft w:val="0"/>
      <w:marRight w:val="0"/>
      <w:marTop w:val="0"/>
      <w:marBottom w:val="0"/>
      <w:divBdr>
        <w:top w:val="none" w:sz="0" w:space="0" w:color="auto"/>
        <w:left w:val="none" w:sz="0" w:space="0" w:color="auto"/>
        <w:bottom w:val="none" w:sz="0" w:space="0" w:color="auto"/>
        <w:right w:val="none" w:sz="0" w:space="0" w:color="auto"/>
      </w:divBdr>
    </w:div>
    <w:div w:id="1582836655">
      <w:bodyDiv w:val="1"/>
      <w:marLeft w:val="0"/>
      <w:marRight w:val="0"/>
      <w:marTop w:val="0"/>
      <w:marBottom w:val="0"/>
      <w:divBdr>
        <w:top w:val="none" w:sz="0" w:space="0" w:color="auto"/>
        <w:left w:val="none" w:sz="0" w:space="0" w:color="auto"/>
        <w:bottom w:val="none" w:sz="0" w:space="0" w:color="auto"/>
        <w:right w:val="none" w:sz="0" w:space="0" w:color="auto"/>
      </w:divBdr>
    </w:div>
    <w:div w:id="20565415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atherine.barnes@e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0073E-86F6-43B1-A99D-5FA3DAD88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1377</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Eastern Mennonite University</Company>
  <LinksUpToDate>false</LinksUpToDate>
  <CharactersWithSpaces>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Docherty</dc:creator>
  <cp:keywords/>
  <dc:description/>
  <cp:lastModifiedBy>Janelle Myers-Benner</cp:lastModifiedBy>
  <cp:revision>2</cp:revision>
  <dcterms:created xsi:type="dcterms:W3CDTF">2020-12-03T16:24:00Z</dcterms:created>
  <dcterms:modified xsi:type="dcterms:W3CDTF">2020-12-03T16:24:00Z</dcterms:modified>
</cp:coreProperties>
</file>